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E0230" w14:textId="1EB9F93F" w:rsidR="00AE5B99" w:rsidRPr="00AE5B99" w:rsidRDefault="00AE5B99" w:rsidP="00CE4EBA">
      <w:pPr>
        <w:widowControl w:val="0"/>
        <w:autoSpaceDE w:val="0"/>
        <w:autoSpaceDN w:val="0"/>
        <w:adjustRightInd w:val="0"/>
        <w:spacing w:after="80"/>
        <w:rPr>
          <w:bCs/>
          <w:i/>
          <w:color w:val="25374D"/>
          <w:lang w:eastAsia="ja-JP"/>
        </w:rPr>
      </w:pPr>
      <w:r>
        <w:rPr>
          <w:bCs/>
          <w:i/>
          <w:color w:val="25374D"/>
          <w:lang w:eastAsia="ja-JP"/>
        </w:rPr>
        <w:t>Prof. Dr. Christian Waldhoff</w:t>
      </w:r>
    </w:p>
    <w:p w14:paraId="1706B2FF" w14:textId="77777777" w:rsidR="00AE5B99" w:rsidRDefault="00AE5B99" w:rsidP="00CE4EBA">
      <w:pPr>
        <w:widowControl w:val="0"/>
        <w:autoSpaceDE w:val="0"/>
        <w:autoSpaceDN w:val="0"/>
        <w:adjustRightInd w:val="0"/>
        <w:spacing w:after="80"/>
        <w:rPr>
          <w:b/>
          <w:bCs/>
          <w:color w:val="25374D"/>
          <w:sz w:val="32"/>
          <w:szCs w:val="32"/>
          <w:lang w:eastAsia="ja-JP"/>
        </w:rPr>
      </w:pPr>
    </w:p>
    <w:p w14:paraId="770DA604" w14:textId="77777777" w:rsidR="00AE5B99" w:rsidRDefault="00AE5B99" w:rsidP="00CE4EBA">
      <w:pPr>
        <w:widowControl w:val="0"/>
        <w:autoSpaceDE w:val="0"/>
        <w:autoSpaceDN w:val="0"/>
        <w:adjustRightInd w:val="0"/>
        <w:spacing w:after="80"/>
        <w:rPr>
          <w:b/>
          <w:bCs/>
          <w:color w:val="25374D"/>
          <w:sz w:val="32"/>
          <w:szCs w:val="32"/>
          <w:lang w:eastAsia="ja-JP"/>
        </w:rPr>
      </w:pPr>
      <w:r>
        <w:rPr>
          <w:b/>
          <w:bCs/>
          <w:color w:val="25374D"/>
          <w:sz w:val="32"/>
          <w:szCs w:val="32"/>
          <w:lang w:eastAsia="ja-JP"/>
        </w:rPr>
        <w:t>Publikationsverzeichnis</w:t>
      </w:r>
    </w:p>
    <w:p w14:paraId="61A6EF4C" w14:textId="30AC61A4" w:rsidR="00AE5B99" w:rsidRDefault="00057B1C" w:rsidP="00387254">
      <w:pPr>
        <w:pStyle w:val="KeinLeerraum"/>
        <w:rPr>
          <w:lang w:eastAsia="ja-JP"/>
        </w:rPr>
      </w:pPr>
      <w:r>
        <w:rPr>
          <w:lang w:eastAsia="ja-JP"/>
        </w:rPr>
        <w:t>Stand:</w:t>
      </w:r>
      <w:r w:rsidR="00B95E73">
        <w:rPr>
          <w:lang w:eastAsia="ja-JP"/>
        </w:rPr>
        <w:t xml:space="preserve"> </w:t>
      </w:r>
      <w:r w:rsidR="00337E63">
        <w:rPr>
          <w:lang w:eastAsia="ja-JP"/>
        </w:rPr>
        <w:t>Mai</w:t>
      </w:r>
      <w:r w:rsidR="00903ACE">
        <w:rPr>
          <w:lang w:eastAsia="ja-JP"/>
        </w:rPr>
        <w:t xml:space="preserve"> </w:t>
      </w:r>
      <w:r w:rsidR="00E31903">
        <w:rPr>
          <w:lang w:eastAsia="ja-JP"/>
        </w:rPr>
        <w:t>202</w:t>
      </w:r>
      <w:r w:rsidR="00F94DA5">
        <w:rPr>
          <w:lang w:eastAsia="ja-JP"/>
        </w:rPr>
        <w:t>5</w:t>
      </w:r>
    </w:p>
    <w:p w14:paraId="10555408" w14:textId="77777777" w:rsidR="0035112A" w:rsidRDefault="0035112A" w:rsidP="00CE4EBA">
      <w:pPr>
        <w:widowControl w:val="0"/>
        <w:autoSpaceDE w:val="0"/>
        <w:autoSpaceDN w:val="0"/>
        <w:adjustRightInd w:val="0"/>
        <w:spacing w:after="80"/>
        <w:rPr>
          <w:bCs/>
          <w:i/>
          <w:color w:val="25374D"/>
          <w:lang w:eastAsia="ja-JP"/>
        </w:rPr>
      </w:pPr>
    </w:p>
    <w:p w14:paraId="35307843" w14:textId="77777777" w:rsidR="00CA0516" w:rsidRPr="0035112A" w:rsidRDefault="00CA0516" w:rsidP="00CE4EBA">
      <w:pPr>
        <w:widowControl w:val="0"/>
        <w:autoSpaceDE w:val="0"/>
        <w:autoSpaceDN w:val="0"/>
        <w:adjustRightInd w:val="0"/>
        <w:spacing w:after="80"/>
        <w:rPr>
          <w:bCs/>
          <w:i/>
          <w:color w:val="25374D"/>
          <w:lang w:eastAsia="ja-JP"/>
        </w:rPr>
      </w:pPr>
    </w:p>
    <w:p w14:paraId="5C371C96" w14:textId="77777777" w:rsidR="00A43562" w:rsidRPr="000F2895" w:rsidRDefault="00A43562" w:rsidP="00CE4EBA">
      <w:pPr>
        <w:widowControl w:val="0"/>
        <w:autoSpaceDE w:val="0"/>
        <w:autoSpaceDN w:val="0"/>
        <w:adjustRightInd w:val="0"/>
        <w:spacing w:after="80"/>
        <w:rPr>
          <w:b/>
          <w:bCs/>
          <w:color w:val="25374D"/>
          <w:lang w:eastAsia="ja-JP"/>
        </w:rPr>
      </w:pPr>
      <w:r w:rsidRPr="000F2895">
        <w:rPr>
          <w:b/>
          <w:bCs/>
          <w:color w:val="25374D"/>
          <w:lang w:eastAsia="ja-JP"/>
        </w:rPr>
        <w:t>I. Selbständige Veröffentlichungen</w:t>
      </w:r>
    </w:p>
    <w:p w14:paraId="49508880" w14:textId="77777777" w:rsidR="00AE5B99" w:rsidRPr="00AE5B99" w:rsidRDefault="00AE5B99" w:rsidP="00CE4EBA">
      <w:pPr>
        <w:widowControl w:val="0"/>
        <w:autoSpaceDE w:val="0"/>
        <w:autoSpaceDN w:val="0"/>
        <w:adjustRightInd w:val="0"/>
        <w:spacing w:after="80"/>
        <w:rPr>
          <w:b/>
          <w:bCs/>
          <w:color w:val="25374D"/>
          <w:sz w:val="28"/>
          <w:szCs w:val="28"/>
          <w:lang w:eastAsia="ja-JP"/>
        </w:rPr>
      </w:pPr>
    </w:p>
    <w:p w14:paraId="31916075" w14:textId="5BE9B6B2" w:rsidR="00A43562" w:rsidRPr="00AE5B99" w:rsidRDefault="00A43562"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Verfassungsrechtliche Vorgaben für die Steuergesetzgebung im Vergleich Deutschland </w:t>
      </w:r>
      <w:r w:rsidR="009B10D7">
        <w:rPr>
          <w:color w:val="434343"/>
          <w:lang w:eastAsia="ja-JP"/>
        </w:rPr>
        <w:t>–</w:t>
      </w:r>
      <w:r w:rsidRPr="00AE5B99">
        <w:rPr>
          <w:color w:val="434343"/>
          <w:lang w:eastAsia="ja-JP"/>
        </w:rPr>
        <w:t xml:space="preserve"> Schweiz (=Münchener Universitätsschriften, Reihe der Juristischen Fakultät, Bd. 121), München 1997</w:t>
      </w:r>
    </w:p>
    <w:p w14:paraId="312E26B2" w14:textId="77777777" w:rsidR="00A43562" w:rsidRPr="00AE5B99" w:rsidRDefault="00A43562"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Klaus Vogel</w:t>
      </w:r>
      <w:r w:rsidRPr="00AE5B99">
        <w:rPr>
          <w:color w:val="434343"/>
          <w:lang w:eastAsia="ja-JP"/>
        </w:rPr>
        <w:t>) Grundlagen des Finanzverfassungsrechts, Heidelberg 1999 (= aktualisierte und verbesserte Version von III 1)</w:t>
      </w:r>
    </w:p>
    <w:p w14:paraId="528F4B5C" w14:textId="1F4DBAC1" w:rsidR="00A43562" w:rsidRPr="00AE5B99" w:rsidRDefault="00A43562"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Hans Markus Heimann und Gregor Kirchhof)</w:t>
      </w:r>
      <w:r w:rsidRPr="00AE5B99">
        <w:rPr>
          <w:color w:val="434343"/>
          <w:lang w:eastAsia="ja-JP"/>
        </w:rPr>
        <w:t xml:space="preserve"> Verfassungsrecht und</w:t>
      </w:r>
      <w:r w:rsidR="00C3737D">
        <w:rPr>
          <w:color w:val="434343"/>
          <w:lang w:eastAsia="ja-JP"/>
        </w:rPr>
        <w:t xml:space="preserve"> Verfassungsprozess</w:t>
      </w:r>
      <w:r w:rsidRPr="00AE5B99">
        <w:rPr>
          <w:color w:val="434343"/>
          <w:lang w:eastAsia="ja-JP"/>
        </w:rPr>
        <w:t>recht (=Beck'sches Examinatorium Öffentliches Recht), München 2004</w:t>
      </w:r>
      <w:r w:rsidR="007D642A">
        <w:rPr>
          <w:color w:val="434343"/>
          <w:lang w:eastAsia="ja-JP"/>
        </w:rPr>
        <w:t>; 2. Aufl. München 2010</w:t>
      </w:r>
      <w:r w:rsidR="00D0698C">
        <w:rPr>
          <w:color w:val="434343"/>
          <w:lang w:eastAsia="ja-JP"/>
        </w:rPr>
        <w:t xml:space="preserve">; 3. Aufl. </w:t>
      </w:r>
      <w:r w:rsidR="00F33A49">
        <w:rPr>
          <w:color w:val="434343"/>
          <w:lang w:eastAsia="ja-JP"/>
        </w:rPr>
        <w:t>München</w:t>
      </w:r>
      <w:r w:rsidR="00D0698C">
        <w:rPr>
          <w:color w:val="434343"/>
          <w:lang w:eastAsia="ja-JP"/>
        </w:rPr>
        <w:t xml:space="preserve"> 202</w:t>
      </w:r>
      <w:r w:rsidR="00F33A49">
        <w:rPr>
          <w:color w:val="434343"/>
          <w:lang w:eastAsia="ja-JP"/>
        </w:rPr>
        <w:t>2</w:t>
      </w:r>
    </w:p>
    <w:p w14:paraId="5E4AFA50" w14:textId="77777777" w:rsidR="00A43562" w:rsidRPr="00AE5B99" w:rsidRDefault="00A43562"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Rückwirkung von EuGH-Entscheidungen (=Schriftenreihe des Zentrums für Europäisches Wirtschaftsrecht, Bd. 155), Bonn 2006</w:t>
      </w:r>
    </w:p>
    <w:p w14:paraId="7D71AC7F" w14:textId="77777777" w:rsidR="00A43562" w:rsidRPr="00AE5B99" w:rsidRDefault="00A43562"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Staat und Zwang. Der Staat als Rechtsdurchsetzungsinstanz (=Schönburger Gespräche zum Thema Recht und Staat, Bd. 11), Paderborn 2008</w:t>
      </w:r>
    </w:p>
    <w:p w14:paraId="72519025" w14:textId="21C05B7C" w:rsidR="00A43562" w:rsidRPr="00AE5B99" w:rsidRDefault="007D642A"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 </w:t>
      </w:r>
      <w:r w:rsidR="00A43562" w:rsidRPr="00AE5B99">
        <w:rPr>
          <w:color w:val="434343"/>
          <w:lang w:eastAsia="ja-JP"/>
        </w:rPr>
        <w:t>(</w:t>
      </w:r>
      <w:r w:rsidR="00A43562" w:rsidRPr="00AE5B99">
        <w:rPr>
          <w:i/>
          <w:iCs/>
          <w:color w:val="434343"/>
          <w:lang w:eastAsia="ja-JP"/>
        </w:rPr>
        <w:t>zusammen mit Hanka von Aswege</w:t>
      </w:r>
      <w:r w:rsidR="00A43562" w:rsidRPr="00AE5B99">
        <w:rPr>
          <w:color w:val="434343"/>
          <w:lang w:eastAsia="ja-JP"/>
        </w:rPr>
        <w:t>) Kernenergie als „goldene Brücke</w:t>
      </w:r>
      <w:r w:rsidR="00CA0516">
        <w:rPr>
          <w:color w:val="434343"/>
          <w:lang w:eastAsia="ja-JP"/>
        </w:rPr>
        <w:t>“</w:t>
      </w:r>
      <w:r w:rsidR="00A43562" w:rsidRPr="00AE5B99">
        <w:rPr>
          <w:color w:val="434343"/>
          <w:lang w:eastAsia="ja-JP"/>
        </w:rPr>
        <w:t>? Verfassungsrechtliche Probleme der Aushandlung von Laufzeitverlängerungen gegen Gewinnabschöpfungen. Gutachten erstellt im Auftrag des Bundesministeriums für Umwelt, Naturschutz und Reaktorsicherheit (=Steuerwissenschaftliche Schriften, Bd. 24), Baden-Baden 2010</w:t>
      </w:r>
    </w:p>
    <w:p w14:paraId="3E13C996" w14:textId="77777777" w:rsidR="00A43562" w:rsidRPr="00AE5B99" w:rsidRDefault="00A43562"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Ekkehart Reimer</w:t>
      </w:r>
      <w:r w:rsidRPr="00AE5B99">
        <w:rPr>
          <w:color w:val="434343"/>
          <w:lang w:eastAsia="ja-JP"/>
        </w:rPr>
        <w:t>) Verfassungsrechtliche Vorgaben für Sonderabgaben des Banken- und Versicherungssektors, Heidelberg 2011</w:t>
      </w:r>
    </w:p>
    <w:p w14:paraId="182959EF" w14:textId="77777777" w:rsidR="00A43562" w:rsidRPr="00AE5B99" w:rsidRDefault="00A43562"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Steuerhoheit für die Europäische Union? (=Schriftenreihe des Zentrums für Europäisches Wirtschaftsrecht, Bd. 195), Bonn 2012</w:t>
      </w:r>
    </w:p>
    <w:p w14:paraId="056BE285" w14:textId="3CD78BA5" w:rsidR="00A43562" w:rsidRPr="00AE5B99" w:rsidRDefault="00A43562"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Martin Franzen und Gregor Thüsing</w:t>
      </w:r>
      <w:r w:rsidRPr="00AE5B99">
        <w:rPr>
          <w:color w:val="434343"/>
          <w:lang w:eastAsia="ja-JP"/>
        </w:rPr>
        <w:t>) Arbeitskampf in der Daseinsvorsorge. Vorschläge zur gesetzlichen Regelung von Streik und Aussperrung in Unternehmen der Dase</w:t>
      </w:r>
      <w:r w:rsidR="007D642A">
        <w:rPr>
          <w:color w:val="434343"/>
          <w:lang w:eastAsia="ja-JP"/>
        </w:rPr>
        <w:t xml:space="preserve">insvorsorge, </w:t>
      </w:r>
      <w:r w:rsidRPr="00AE5B99">
        <w:rPr>
          <w:color w:val="434343"/>
          <w:lang w:eastAsia="ja-JP"/>
        </w:rPr>
        <w:t>Tübingen</w:t>
      </w:r>
      <w:r w:rsidR="007D642A">
        <w:rPr>
          <w:color w:val="434343"/>
          <w:lang w:eastAsia="ja-JP"/>
        </w:rPr>
        <w:t xml:space="preserve"> 2012</w:t>
      </w:r>
    </w:p>
    <w:p w14:paraId="16DDC0BE" w14:textId="77777777" w:rsidR="00A43562" w:rsidRPr="00AE5B99" w:rsidRDefault="00A43562"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Wolfgang Durner</w:t>
      </w:r>
      <w:r w:rsidRPr="00AE5B99">
        <w:rPr>
          <w:color w:val="434343"/>
          <w:lang w:eastAsia="ja-JP"/>
        </w:rPr>
        <w:t>) Rechtsprobleme der Einführung bundesrechtlicher Wassernutzungsabgaben, Baden-Baden 2013</w:t>
      </w:r>
    </w:p>
    <w:p w14:paraId="45A2EF7B" w14:textId="5E2C083F" w:rsidR="00A46D74" w:rsidRDefault="00A46D74"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Pr>
          <w:color w:val="434343"/>
          <w:lang w:eastAsia="ja-JP"/>
        </w:rPr>
        <w:t>(</w:t>
      </w:r>
      <w:r>
        <w:rPr>
          <w:i/>
          <w:color w:val="434343"/>
          <w:lang w:eastAsia="ja-JP"/>
        </w:rPr>
        <w:t>zusammen mit Matthias Roßbach</w:t>
      </w:r>
      <w:r>
        <w:rPr>
          <w:color w:val="434343"/>
          <w:lang w:eastAsia="ja-JP"/>
        </w:rPr>
        <w:t xml:space="preserve">) </w:t>
      </w:r>
      <w:r w:rsidR="00C704AB">
        <w:rPr>
          <w:color w:val="434343"/>
          <w:lang w:eastAsia="ja-JP"/>
        </w:rPr>
        <w:t xml:space="preserve">Eine Schuldenbremse für Nordrhein-Westfalen. Grundgesetzliche Vorgaben und Gestaltungsmöglichkeiten in der Landesverfassung (= Recht der Steuern und der öffentlichen Finanzordnung / Tax Law and Public Finance, 4), </w:t>
      </w:r>
      <w:r>
        <w:rPr>
          <w:color w:val="434343"/>
          <w:lang w:eastAsia="ja-JP"/>
        </w:rPr>
        <w:t>Baden-Baden</w:t>
      </w:r>
      <w:r w:rsidR="00C704AB">
        <w:rPr>
          <w:color w:val="434343"/>
          <w:lang w:eastAsia="ja-JP"/>
        </w:rPr>
        <w:t xml:space="preserve"> 2015</w:t>
      </w:r>
    </w:p>
    <w:p w14:paraId="0186F34B" w14:textId="5F57609E" w:rsidR="00551839" w:rsidRDefault="00551839"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Pr>
          <w:color w:val="434343"/>
          <w:lang w:eastAsia="ja-JP"/>
        </w:rPr>
        <w:t>(</w:t>
      </w:r>
      <w:r>
        <w:rPr>
          <w:i/>
          <w:color w:val="434343"/>
          <w:lang w:eastAsia="ja-JP"/>
        </w:rPr>
        <w:t>zusammen mit Thorsten Siegel</w:t>
      </w:r>
      <w:r>
        <w:rPr>
          <w:color w:val="434343"/>
          <w:lang w:eastAsia="ja-JP"/>
        </w:rPr>
        <w:t>) Öffentliches Recht in Berlin</w:t>
      </w:r>
      <w:r w:rsidR="00C704AB">
        <w:rPr>
          <w:color w:val="434343"/>
          <w:lang w:eastAsia="ja-JP"/>
        </w:rPr>
        <w:t>. Landesverfassungs- und Organisatio</w:t>
      </w:r>
      <w:r w:rsidR="00076353">
        <w:rPr>
          <w:color w:val="434343"/>
          <w:lang w:eastAsia="ja-JP"/>
        </w:rPr>
        <w:t>n</w:t>
      </w:r>
      <w:r w:rsidR="00C704AB">
        <w:rPr>
          <w:color w:val="434343"/>
          <w:lang w:eastAsia="ja-JP"/>
        </w:rPr>
        <w:t>srecht, Polizei- und Ordnungsrecht, Öffentliches Baurecht. Eine prüfungsorientierte Darstellung</w:t>
      </w:r>
      <w:r>
        <w:rPr>
          <w:color w:val="434343"/>
          <w:lang w:eastAsia="ja-JP"/>
        </w:rPr>
        <w:t>, München 2015</w:t>
      </w:r>
      <w:r w:rsidR="00BC5D0F">
        <w:rPr>
          <w:color w:val="434343"/>
          <w:lang w:eastAsia="ja-JP"/>
        </w:rPr>
        <w:t>, 2. Aufl. München 2017</w:t>
      </w:r>
      <w:r w:rsidR="00545E09">
        <w:rPr>
          <w:color w:val="434343"/>
          <w:lang w:eastAsia="ja-JP"/>
        </w:rPr>
        <w:t>; 3. Aufl. München 2020</w:t>
      </w:r>
      <w:r w:rsidR="00904831">
        <w:rPr>
          <w:color w:val="434343"/>
          <w:lang w:eastAsia="ja-JP"/>
        </w:rPr>
        <w:t xml:space="preserve">; 4. Aufl. </w:t>
      </w:r>
      <w:r w:rsidR="00052567">
        <w:rPr>
          <w:color w:val="434343"/>
          <w:lang w:eastAsia="ja-JP"/>
        </w:rPr>
        <w:t xml:space="preserve">München </w:t>
      </w:r>
      <w:r w:rsidR="00904831">
        <w:rPr>
          <w:color w:val="434343"/>
          <w:lang w:eastAsia="ja-JP"/>
        </w:rPr>
        <w:t>2023</w:t>
      </w:r>
    </w:p>
    <w:p w14:paraId="3BA1B6C8" w14:textId="06AB1743" w:rsidR="00683484" w:rsidRDefault="00683484"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Pr>
          <w:color w:val="434343"/>
          <w:lang w:eastAsia="ja-JP"/>
        </w:rPr>
        <w:t>Der positive und der negative Verfassungsvorbehalt. Überlegungen zu einer Rege</w:t>
      </w:r>
      <w:r w:rsidR="00BC5D0F">
        <w:rPr>
          <w:color w:val="434343"/>
          <w:lang w:eastAsia="ja-JP"/>
        </w:rPr>
        <w:t>lungstheorie im Grenzbereich von</w:t>
      </w:r>
      <w:r>
        <w:rPr>
          <w:color w:val="434343"/>
          <w:lang w:eastAsia="ja-JP"/>
        </w:rPr>
        <w:t xml:space="preserve"> Verfassungsrechtsdogmatik und Verfassungstheorie</w:t>
      </w:r>
      <w:r w:rsidR="00BC5D0F">
        <w:rPr>
          <w:color w:val="434343"/>
          <w:lang w:eastAsia="ja-JP"/>
        </w:rPr>
        <w:t xml:space="preserve"> (=</w:t>
      </w:r>
      <w:r>
        <w:rPr>
          <w:color w:val="434343"/>
          <w:lang w:eastAsia="ja-JP"/>
        </w:rPr>
        <w:t xml:space="preserve">Würzburger Vorträge zu Rechtsphilosophie, Rechtstheorie und </w:t>
      </w:r>
      <w:r>
        <w:rPr>
          <w:color w:val="434343"/>
          <w:lang w:eastAsia="ja-JP"/>
        </w:rPr>
        <w:lastRenderedPageBreak/>
        <w:t>Rechtssoziolo</w:t>
      </w:r>
      <w:r w:rsidR="00BC5D0F">
        <w:rPr>
          <w:color w:val="434343"/>
          <w:lang w:eastAsia="ja-JP"/>
        </w:rPr>
        <w:t>gie, 52), Baden-Baden 2016</w:t>
      </w:r>
    </w:p>
    <w:p w14:paraId="32647681" w14:textId="53D95806" w:rsidR="0047527F" w:rsidRDefault="0047527F"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Pr>
          <w:color w:val="434343"/>
          <w:lang w:eastAsia="ja-JP"/>
        </w:rPr>
        <w:t>(</w:t>
      </w:r>
      <w:r>
        <w:rPr>
          <w:i/>
          <w:color w:val="434343"/>
          <w:lang w:eastAsia="ja-JP"/>
        </w:rPr>
        <w:t>zusammen mit Hartmut Maurer</w:t>
      </w:r>
      <w:r>
        <w:rPr>
          <w:color w:val="434343"/>
          <w:lang w:eastAsia="ja-JP"/>
        </w:rPr>
        <w:t>) Allgemeines Verwaltungsrecht, 19. Aufl. München 2017</w:t>
      </w:r>
      <w:r w:rsidR="00A9159B">
        <w:rPr>
          <w:color w:val="434343"/>
          <w:lang w:eastAsia="ja-JP"/>
        </w:rPr>
        <w:t>; 20. Aufl. München 2020</w:t>
      </w:r>
      <w:r w:rsidR="00CC7514">
        <w:rPr>
          <w:color w:val="434343"/>
          <w:lang w:eastAsia="ja-JP"/>
        </w:rPr>
        <w:t>; 21. Aufl. München 2024</w:t>
      </w:r>
    </w:p>
    <w:p w14:paraId="639951C2" w14:textId="1ED4F9C9" w:rsidR="00821814" w:rsidRDefault="00821814"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Pr>
          <w:color w:val="434343"/>
          <w:lang w:eastAsia="ja-JP"/>
        </w:rPr>
        <w:t>Das andere Grundgesetz. Gedanken über Verfassungskultur</w:t>
      </w:r>
      <w:r w:rsidR="00545E09">
        <w:rPr>
          <w:color w:val="434343"/>
          <w:lang w:eastAsia="ja-JP"/>
        </w:rPr>
        <w:t xml:space="preserve"> (=Themen. Carl Friedrich von Siemens Stiftung, 105), München </w:t>
      </w:r>
      <w:r>
        <w:rPr>
          <w:color w:val="434343"/>
          <w:lang w:eastAsia="ja-JP"/>
        </w:rPr>
        <w:t>2019</w:t>
      </w:r>
    </w:p>
    <w:p w14:paraId="6B7F4E03" w14:textId="2A5E7B93" w:rsidR="00837C7F" w:rsidRDefault="00837C7F"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Pr>
          <w:color w:val="434343"/>
          <w:lang w:eastAsia="ja-JP"/>
        </w:rPr>
        <w:t>(</w:t>
      </w:r>
      <w:r>
        <w:rPr>
          <w:i/>
          <w:color w:val="434343"/>
          <w:lang w:eastAsia="ja-JP"/>
        </w:rPr>
        <w:t>zusammen mit Philipp Austermann</w:t>
      </w:r>
      <w:r>
        <w:rPr>
          <w:color w:val="434343"/>
          <w:lang w:eastAsia="ja-JP"/>
        </w:rPr>
        <w:t>) Parlamentsrecht, Heidelberg 2020</w:t>
      </w:r>
      <w:r w:rsidR="00BD1E95">
        <w:rPr>
          <w:color w:val="434343"/>
          <w:lang w:eastAsia="ja-JP"/>
        </w:rPr>
        <w:t xml:space="preserve"> (Übersetzung ins Japanische in Arbeit)</w:t>
      </w:r>
    </w:p>
    <w:p w14:paraId="1CBFE2BD" w14:textId="5068E82F" w:rsidR="0009697C" w:rsidRDefault="0009697C"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Pr>
          <w:color w:val="434343"/>
          <w:lang w:eastAsia="ja-JP"/>
        </w:rPr>
        <w:t>(</w:t>
      </w:r>
      <w:r>
        <w:rPr>
          <w:i/>
          <w:color w:val="434343"/>
          <w:lang w:eastAsia="ja-JP"/>
        </w:rPr>
        <w:t>zusammen mit Gregor Thüsing</w:t>
      </w:r>
      <w:r>
        <w:rPr>
          <w:color w:val="434343"/>
          <w:lang w:eastAsia="ja-JP"/>
        </w:rPr>
        <w:t>) Geheimsache Staat. Staatlicher Geheimnisschutz am Beispiel von Erforderlichkeit und Grenzen einer Einwilligung zur Weitergabe</w:t>
      </w:r>
      <w:r w:rsidR="003744EA">
        <w:rPr>
          <w:color w:val="434343"/>
          <w:lang w:eastAsia="ja-JP"/>
        </w:rPr>
        <w:t xml:space="preserve"> geschützter Informationen</w:t>
      </w:r>
      <w:r>
        <w:rPr>
          <w:color w:val="434343"/>
          <w:lang w:eastAsia="ja-JP"/>
        </w:rPr>
        <w:t xml:space="preserve"> durch private Unternehmen nach dem Geheimschutzhandbuch</w:t>
      </w:r>
      <w:r w:rsidR="00271514">
        <w:rPr>
          <w:color w:val="434343"/>
          <w:lang w:eastAsia="ja-JP"/>
        </w:rPr>
        <w:t xml:space="preserve"> (=Beiträge zum Sicherheitsrecht und zur Sicherheitspolitik, 9), </w:t>
      </w:r>
      <w:r>
        <w:rPr>
          <w:color w:val="434343"/>
          <w:lang w:eastAsia="ja-JP"/>
        </w:rPr>
        <w:t>Tübingen</w:t>
      </w:r>
      <w:r w:rsidR="00271514">
        <w:rPr>
          <w:color w:val="434343"/>
          <w:lang w:eastAsia="ja-JP"/>
        </w:rPr>
        <w:t xml:space="preserve"> 2021</w:t>
      </w:r>
    </w:p>
    <w:p w14:paraId="63A02784" w14:textId="78F47EA9" w:rsidR="00AD03CA" w:rsidRDefault="00AD03CA"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Pr>
          <w:color w:val="434343"/>
          <w:lang w:eastAsia="ja-JP"/>
        </w:rPr>
        <w:t>(</w:t>
      </w:r>
      <w:r>
        <w:rPr>
          <w:i/>
          <w:color w:val="434343"/>
          <w:lang w:eastAsia="ja-JP"/>
        </w:rPr>
        <w:t>zusammen mit Gregor Thüsing</w:t>
      </w:r>
      <w:r>
        <w:rPr>
          <w:color w:val="434343"/>
          <w:lang w:eastAsia="ja-JP"/>
        </w:rPr>
        <w:t>) Versicherte und Steuerzahler. Zu den Voraussetzungen und Grenzen einer hybriden Finanzierung gesamtgesellschaftlicher Aufgaben und versicherungsspezifischer Aufgaben in der Kranken- und Pflegeversicherung</w:t>
      </w:r>
      <w:r w:rsidR="00237BDC">
        <w:rPr>
          <w:color w:val="434343"/>
          <w:lang w:eastAsia="ja-JP"/>
        </w:rPr>
        <w:t xml:space="preserve"> (=Schriften zum Gesundheitsrecht, 65)</w:t>
      </w:r>
      <w:r>
        <w:rPr>
          <w:color w:val="434343"/>
          <w:lang w:eastAsia="ja-JP"/>
        </w:rPr>
        <w:t>,</w:t>
      </w:r>
      <w:r w:rsidR="00237BDC">
        <w:rPr>
          <w:color w:val="434343"/>
          <w:lang w:eastAsia="ja-JP"/>
        </w:rPr>
        <w:t xml:space="preserve"> Berlin 202</w:t>
      </w:r>
      <w:r w:rsidR="00B31B0D">
        <w:rPr>
          <w:color w:val="434343"/>
          <w:lang w:eastAsia="ja-JP"/>
        </w:rPr>
        <w:t>1</w:t>
      </w:r>
    </w:p>
    <w:p w14:paraId="5437E3E2" w14:textId="4FCDDF55" w:rsidR="00A43562" w:rsidRPr="00AE5B99" w:rsidRDefault="00A43562" w:rsidP="00CE4EBA">
      <w:pPr>
        <w:widowControl w:val="0"/>
        <w:numPr>
          <w:ilvl w:val="0"/>
          <w:numId w:val="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Der Verwaltungszwang. Historische und dogmatische Studien zu Vollstreckung und Sanktion als Mittel der Rechtsdurchsetzung der Verwaltung (Manuskript </w:t>
      </w:r>
      <w:r w:rsidR="002A7707">
        <w:rPr>
          <w:color w:val="434343"/>
          <w:lang w:eastAsia="ja-JP"/>
        </w:rPr>
        <w:t>–</w:t>
      </w:r>
      <w:r w:rsidRPr="00AE5B99">
        <w:rPr>
          <w:color w:val="434343"/>
          <w:lang w:eastAsia="ja-JP"/>
        </w:rPr>
        <w:t xml:space="preserve"> Habilitationsschrift</w:t>
      </w:r>
      <w:r w:rsidR="00A43B32">
        <w:rPr>
          <w:color w:val="434343"/>
          <w:lang w:eastAsia="ja-JP"/>
        </w:rPr>
        <w:t xml:space="preserve"> München 2002</w:t>
      </w:r>
      <w:r w:rsidRPr="00AE5B99">
        <w:rPr>
          <w:color w:val="434343"/>
          <w:lang w:eastAsia="ja-JP"/>
        </w:rPr>
        <w:t>)</w:t>
      </w:r>
    </w:p>
    <w:p w14:paraId="29362BF3" w14:textId="77777777" w:rsidR="00AE5B99" w:rsidRDefault="00AE5B99" w:rsidP="00CE4EBA">
      <w:pPr>
        <w:widowControl w:val="0"/>
        <w:autoSpaceDE w:val="0"/>
        <w:autoSpaceDN w:val="0"/>
        <w:adjustRightInd w:val="0"/>
        <w:spacing w:after="80"/>
        <w:rPr>
          <w:b/>
          <w:bCs/>
          <w:color w:val="25374D"/>
          <w:sz w:val="32"/>
          <w:szCs w:val="32"/>
          <w:lang w:eastAsia="ja-JP"/>
        </w:rPr>
      </w:pPr>
    </w:p>
    <w:p w14:paraId="174E62C9" w14:textId="77777777" w:rsidR="00CA0516" w:rsidRDefault="00CA0516" w:rsidP="00CE4EBA">
      <w:pPr>
        <w:widowControl w:val="0"/>
        <w:autoSpaceDE w:val="0"/>
        <w:autoSpaceDN w:val="0"/>
        <w:adjustRightInd w:val="0"/>
        <w:spacing w:after="80"/>
        <w:rPr>
          <w:b/>
          <w:bCs/>
          <w:color w:val="25374D"/>
          <w:sz w:val="32"/>
          <w:szCs w:val="32"/>
          <w:lang w:eastAsia="ja-JP"/>
        </w:rPr>
      </w:pPr>
    </w:p>
    <w:p w14:paraId="1E40D2EF" w14:textId="3E20BB44" w:rsidR="00A43562" w:rsidRPr="000F2895" w:rsidRDefault="00A43562" w:rsidP="00CE4EBA">
      <w:pPr>
        <w:widowControl w:val="0"/>
        <w:autoSpaceDE w:val="0"/>
        <w:autoSpaceDN w:val="0"/>
        <w:adjustRightInd w:val="0"/>
        <w:spacing w:after="80"/>
        <w:rPr>
          <w:b/>
          <w:bCs/>
          <w:color w:val="25374D"/>
          <w:lang w:eastAsia="ja-JP"/>
        </w:rPr>
      </w:pPr>
      <w:r w:rsidRPr="000F2895">
        <w:rPr>
          <w:b/>
          <w:bCs/>
          <w:color w:val="25374D"/>
          <w:lang w:eastAsia="ja-JP"/>
        </w:rPr>
        <w:t xml:space="preserve">II. </w:t>
      </w:r>
      <w:r w:rsidR="00073E91">
        <w:rPr>
          <w:b/>
          <w:bCs/>
          <w:color w:val="25374D"/>
          <w:lang w:eastAsia="ja-JP"/>
        </w:rPr>
        <w:t>Handbuchbeiträge und sonstige m</w:t>
      </w:r>
      <w:r w:rsidRPr="000F2895">
        <w:rPr>
          <w:b/>
          <w:bCs/>
          <w:color w:val="25374D"/>
          <w:lang w:eastAsia="ja-JP"/>
        </w:rPr>
        <w:t>onographische Beiträge</w:t>
      </w:r>
      <w:r w:rsidR="006B1443">
        <w:rPr>
          <w:b/>
          <w:bCs/>
          <w:color w:val="25374D"/>
          <w:lang w:eastAsia="ja-JP"/>
        </w:rPr>
        <w:t xml:space="preserve"> in Sammelwerken</w:t>
      </w:r>
    </w:p>
    <w:p w14:paraId="37E8E381" w14:textId="77777777" w:rsidR="00AE5B99" w:rsidRPr="00AE5B99" w:rsidRDefault="00AE5B99" w:rsidP="00CE4EBA">
      <w:pPr>
        <w:widowControl w:val="0"/>
        <w:autoSpaceDE w:val="0"/>
        <w:autoSpaceDN w:val="0"/>
        <w:adjustRightInd w:val="0"/>
        <w:spacing w:after="80"/>
        <w:rPr>
          <w:b/>
          <w:bCs/>
          <w:color w:val="25374D"/>
          <w:sz w:val="28"/>
          <w:szCs w:val="28"/>
          <w:lang w:eastAsia="ja-JP"/>
        </w:rPr>
      </w:pPr>
    </w:p>
    <w:p w14:paraId="7C6CAD0B" w14:textId="77777777" w:rsidR="00A43562" w:rsidRPr="00AE5B99" w:rsidRDefault="00A43562" w:rsidP="00CE4EBA">
      <w:pPr>
        <w:widowControl w:val="0"/>
        <w:numPr>
          <w:ilvl w:val="0"/>
          <w:numId w:val="2"/>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Grundzüge des Finanzrechts des Grundgesetzes, in: Josef Isensee/Paul Kirchhof (Hrsg.), Handbuch des Staatsrechts der Bundesrepublik Deutschland, Bd. 5, Heidelberg 2007, § 116 (S. 813 - 933)</w:t>
      </w:r>
    </w:p>
    <w:p w14:paraId="70376F63" w14:textId="1C1A40B4" w:rsidR="00A43562" w:rsidRPr="00AE5B99" w:rsidRDefault="00A43562" w:rsidP="00CE4EBA">
      <w:pPr>
        <w:widowControl w:val="0"/>
        <w:numPr>
          <w:ilvl w:val="0"/>
          <w:numId w:val="2"/>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Vollstreckung und Sanktionen, in: Wolfgang Hoffmann-Riem/Eberhard Schmidt-Aßmann/Andreas Voßkuhle (Hrsg.), Grundlagen des Verwaltungsrechts, Bd. 3, München 2009, § 46 (S. 269 </w:t>
      </w:r>
      <w:r w:rsidR="0010368A">
        <w:rPr>
          <w:color w:val="434343"/>
          <w:lang w:eastAsia="ja-JP"/>
        </w:rPr>
        <w:t>–</w:t>
      </w:r>
      <w:r w:rsidRPr="00AE5B99">
        <w:rPr>
          <w:color w:val="434343"/>
          <w:lang w:eastAsia="ja-JP"/>
        </w:rPr>
        <w:t xml:space="preserve"> 423)</w:t>
      </w:r>
      <w:r w:rsidR="007D642A">
        <w:rPr>
          <w:color w:val="434343"/>
          <w:lang w:eastAsia="ja-JP"/>
        </w:rPr>
        <w:t xml:space="preserve">; 2. Aufl. München 2013 (S. </w:t>
      </w:r>
      <w:r w:rsidR="007D642A" w:rsidRPr="00AE5B99">
        <w:rPr>
          <w:color w:val="434343"/>
          <w:lang w:eastAsia="ja-JP"/>
        </w:rPr>
        <w:t xml:space="preserve">293 </w:t>
      </w:r>
      <w:r w:rsidR="007D642A">
        <w:rPr>
          <w:color w:val="434343"/>
          <w:lang w:eastAsia="ja-JP"/>
        </w:rPr>
        <w:t>–</w:t>
      </w:r>
      <w:r w:rsidR="007D642A" w:rsidRPr="00AE5B99">
        <w:rPr>
          <w:color w:val="434343"/>
          <w:lang w:eastAsia="ja-JP"/>
        </w:rPr>
        <w:t xml:space="preserve"> 455</w:t>
      </w:r>
      <w:r w:rsidR="007D642A">
        <w:rPr>
          <w:color w:val="434343"/>
          <w:lang w:eastAsia="ja-JP"/>
        </w:rPr>
        <w:t>)</w:t>
      </w:r>
      <w:r w:rsidR="00D319BB">
        <w:rPr>
          <w:color w:val="434343"/>
          <w:lang w:eastAsia="ja-JP"/>
        </w:rPr>
        <w:t xml:space="preserve">; 3. Aufl. </w:t>
      </w:r>
      <w:r w:rsidR="0010368A">
        <w:rPr>
          <w:color w:val="434343"/>
          <w:lang w:eastAsia="ja-JP"/>
        </w:rPr>
        <w:t xml:space="preserve">München </w:t>
      </w:r>
      <w:r w:rsidR="00D319BB">
        <w:rPr>
          <w:color w:val="434343"/>
          <w:lang w:eastAsia="ja-JP"/>
        </w:rPr>
        <w:t>202</w:t>
      </w:r>
      <w:r w:rsidR="00E745C7">
        <w:rPr>
          <w:color w:val="434343"/>
          <w:lang w:eastAsia="ja-JP"/>
        </w:rPr>
        <w:t>2</w:t>
      </w:r>
      <w:r w:rsidR="0010368A">
        <w:rPr>
          <w:color w:val="434343"/>
          <w:lang w:eastAsia="ja-JP"/>
        </w:rPr>
        <w:t>, Bd. 2, § 44 (S. 1415 – 1553)</w:t>
      </w:r>
    </w:p>
    <w:p w14:paraId="19B9147D" w14:textId="77777777" w:rsidR="00A43562" w:rsidRPr="00AE5B99" w:rsidRDefault="00A43562" w:rsidP="00CE4EBA">
      <w:pPr>
        <w:widowControl w:val="0"/>
        <w:numPr>
          <w:ilvl w:val="0"/>
          <w:numId w:val="2"/>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Neue Religionskonflikte und staatliche Neutralität: Erfordern weltanschauliche und religiöse Entwicklungen Antworten des Staates? Gutachten D zum 68. Deutschen Juristentag, in: Ständige Deputation des Deutschen Juristentages (Hrsg.), Verhandlungen des 68. Deutschen Juristentages Berlin 2010, Bd. 1: Gutachten, München 2010, S. D 1 - D 176</w:t>
      </w:r>
    </w:p>
    <w:p w14:paraId="0958BD25" w14:textId="1E300B01" w:rsidR="00073E91" w:rsidRDefault="00A43562" w:rsidP="00073E91">
      <w:pPr>
        <w:widowControl w:val="0"/>
        <w:numPr>
          <w:ilvl w:val="0"/>
          <w:numId w:val="2"/>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Abgabenrecht, in: Dirk Ehlers/Michael Fehling/Hermann Pünder (Hrsg.), Besonderes Verwaltungsrecht, Bd. 3: Kommunalrecht, Haushalts- und Abgabenrecht, Ordnungs-, Sozial-, Bildungs- und Dienstrecht, 3. Aufl. Heidelberg 2013, § 67 (S. 219 - 369)</w:t>
      </w:r>
      <w:r w:rsidR="0019489B">
        <w:rPr>
          <w:color w:val="434343"/>
          <w:lang w:eastAsia="ja-JP"/>
        </w:rPr>
        <w:t>; 4. Aufl. Heidelberg 202</w:t>
      </w:r>
      <w:r w:rsidR="008E0548">
        <w:rPr>
          <w:color w:val="434343"/>
          <w:lang w:eastAsia="ja-JP"/>
        </w:rPr>
        <w:t>1</w:t>
      </w:r>
      <w:r w:rsidR="0019489B">
        <w:rPr>
          <w:color w:val="434343"/>
          <w:lang w:eastAsia="ja-JP"/>
        </w:rPr>
        <w:t>, § 67 (S. 231 – 39</w:t>
      </w:r>
      <w:r w:rsidR="00B54483">
        <w:rPr>
          <w:color w:val="434343"/>
          <w:lang w:eastAsia="ja-JP"/>
        </w:rPr>
        <w:t>4</w:t>
      </w:r>
      <w:r w:rsidR="0019489B">
        <w:rPr>
          <w:color w:val="434343"/>
          <w:lang w:eastAsia="ja-JP"/>
        </w:rPr>
        <w:t>)</w:t>
      </w:r>
    </w:p>
    <w:p w14:paraId="491A16F1" w14:textId="77B1AD56" w:rsidR="00073E91" w:rsidRPr="00073E91" w:rsidRDefault="00073E91" w:rsidP="00073E91">
      <w:pPr>
        <w:widowControl w:val="0"/>
        <w:numPr>
          <w:ilvl w:val="0"/>
          <w:numId w:val="2"/>
        </w:numPr>
        <w:tabs>
          <w:tab w:val="left" w:pos="220"/>
          <w:tab w:val="left" w:pos="720"/>
        </w:tabs>
        <w:autoSpaceDE w:val="0"/>
        <w:autoSpaceDN w:val="0"/>
        <w:adjustRightInd w:val="0"/>
        <w:spacing w:after="80"/>
        <w:ind w:hanging="720"/>
        <w:rPr>
          <w:color w:val="434343"/>
          <w:lang w:eastAsia="ja-JP"/>
        </w:rPr>
      </w:pPr>
      <w:r w:rsidRPr="00073E91">
        <w:rPr>
          <w:color w:val="434343"/>
          <w:lang w:eastAsia="ja-JP"/>
        </w:rPr>
        <w:t>Gedanken-, Gewissens- und Religionsfreiheit, in: Armin Hatje/Peter-Christian Müller-Graff/Christoph Grabenwarter (Hrsg.), Enzyklopädie Europarecht, Bd. 2: Europäischer Grundrechteschutz, Baden-Baden 2014, § 11 (S. 455 – 473)</w:t>
      </w:r>
      <w:r w:rsidR="00EF7D4C">
        <w:rPr>
          <w:color w:val="434343"/>
          <w:lang w:eastAsia="ja-JP"/>
        </w:rPr>
        <w:t>; 2. Aufl. 2021, § 12 (S. 55</w:t>
      </w:r>
      <w:r w:rsidR="006D4F4D">
        <w:rPr>
          <w:color w:val="434343"/>
          <w:lang w:eastAsia="ja-JP"/>
        </w:rPr>
        <w:t>1</w:t>
      </w:r>
      <w:r w:rsidR="00EF7D4C">
        <w:rPr>
          <w:color w:val="434343"/>
          <w:lang w:eastAsia="ja-JP"/>
        </w:rPr>
        <w:t xml:space="preserve"> – 5</w:t>
      </w:r>
      <w:r w:rsidR="006D4F4D">
        <w:rPr>
          <w:color w:val="434343"/>
          <w:lang w:eastAsia="ja-JP"/>
        </w:rPr>
        <w:t>71</w:t>
      </w:r>
      <w:r w:rsidR="00EF7D4C">
        <w:rPr>
          <w:color w:val="434343"/>
          <w:lang w:eastAsia="ja-JP"/>
        </w:rPr>
        <w:t>)</w:t>
      </w:r>
    </w:p>
    <w:p w14:paraId="51659384" w14:textId="3E509070" w:rsidR="00A43562" w:rsidRDefault="007D642A" w:rsidP="00CE4EBA">
      <w:pPr>
        <w:widowControl w:val="0"/>
        <w:numPr>
          <w:ilvl w:val="0"/>
          <w:numId w:val="2"/>
        </w:numPr>
        <w:tabs>
          <w:tab w:val="left" w:pos="220"/>
          <w:tab w:val="left" w:pos="720"/>
        </w:tabs>
        <w:autoSpaceDE w:val="0"/>
        <w:autoSpaceDN w:val="0"/>
        <w:adjustRightInd w:val="0"/>
        <w:spacing w:after="80"/>
        <w:ind w:hanging="720"/>
        <w:rPr>
          <w:color w:val="434343"/>
          <w:lang w:eastAsia="ja-JP"/>
        </w:rPr>
      </w:pPr>
      <w:r>
        <w:rPr>
          <w:color w:val="434343"/>
          <w:lang w:eastAsia="ja-JP"/>
        </w:rPr>
        <w:t>S</w:t>
      </w:r>
      <w:r w:rsidR="00A43562" w:rsidRPr="00AE5B99">
        <w:rPr>
          <w:color w:val="434343"/>
          <w:lang w:eastAsia="ja-JP"/>
        </w:rPr>
        <w:t>teuern, in: Armin Hatje/Peter-Christian Müller-Graff/Bernhard Wegener (Hrsg.),</w:t>
      </w:r>
      <w:r w:rsidR="00AE5B99">
        <w:rPr>
          <w:color w:val="434343"/>
          <w:lang w:eastAsia="ja-JP"/>
        </w:rPr>
        <w:t xml:space="preserve"> Enzyklopädie Europarecht, Bd. 8</w:t>
      </w:r>
      <w:r w:rsidR="005309D9">
        <w:rPr>
          <w:color w:val="434343"/>
          <w:lang w:eastAsia="ja-JP"/>
        </w:rPr>
        <w:t xml:space="preserve">: Europäische Querschnittspolitiken, </w:t>
      </w:r>
      <w:r w:rsidR="00A43562" w:rsidRPr="00AE5B99">
        <w:rPr>
          <w:color w:val="434343"/>
          <w:lang w:eastAsia="ja-JP"/>
        </w:rPr>
        <w:t>Baden-Baden</w:t>
      </w:r>
      <w:r w:rsidR="005309D9">
        <w:rPr>
          <w:color w:val="434343"/>
          <w:lang w:eastAsia="ja-JP"/>
        </w:rPr>
        <w:t xml:space="preserve"> 2014, § 10 (S. 619 – 724)</w:t>
      </w:r>
      <w:r w:rsidR="00B54483">
        <w:rPr>
          <w:color w:val="434343"/>
          <w:lang w:eastAsia="ja-JP"/>
        </w:rPr>
        <w:t xml:space="preserve">; 2. Aufl. </w:t>
      </w:r>
      <w:r w:rsidR="0028650F">
        <w:rPr>
          <w:color w:val="434343"/>
          <w:lang w:eastAsia="ja-JP"/>
        </w:rPr>
        <w:t xml:space="preserve">Baden-Baden </w:t>
      </w:r>
      <w:r w:rsidR="00B54483">
        <w:rPr>
          <w:color w:val="434343"/>
          <w:lang w:eastAsia="ja-JP"/>
        </w:rPr>
        <w:t>2021,</w:t>
      </w:r>
      <w:r w:rsidR="0028650F">
        <w:rPr>
          <w:color w:val="434343"/>
          <w:lang w:eastAsia="ja-JP"/>
        </w:rPr>
        <w:t xml:space="preserve"> § 10 (S. 655 – 760)</w:t>
      </w:r>
      <w:r w:rsidR="00B54483">
        <w:rPr>
          <w:color w:val="434343"/>
          <w:lang w:eastAsia="ja-JP"/>
        </w:rPr>
        <w:t xml:space="preserve"> </w:t>
      </w:r>
    </w:p>
    <w:p w14:paraId="6FB68D25" w14:textId="149CE504" w:rsidR="00035258" w:rsidRPr="00035258" w:rsidRDefault="00035258" w:rsidP="00CE4EBA">
      <w:pPr>
        <w:widowControl w:val="0"/>
        <w:numPr>
          <w:ilvl w:val="0"/>
          <w:numId w:val="2"/>
        </w:numPr>
        <w:tabs>
          <w:tab w:val="left" w:pos="220"/>
          <w:tab w:val="left" w:pos="720"/>
        </w:tabs>
        <w:autoSpaceDE w:val="0"/>
        <w:autoSpaceDN w:val="0"/>
        <w:adjustRightInd w:val="0"/>
        <w:spacing w:after="80"/>
        <w:ind w:hanging="720"/>
        <w:rPr>
          <w:color w:val="434343"/>
          <w:lang w:eastAsia="ja-JP"/>
        </w:rPr>
      </w:pPr>
      <w:r>
        <w:rPr>
          <w:color w:val="434343"/>
          <w:lang w:eastAsia="ja-JP"/>
        </w:rPr>
        <w:t>(</w:t>
      </w:r>
      <w:r w:rsidRPr="0086178D">
        <w:rPr>
          <w:i/>
          <w:color w:val="434343"/>
          <w:lang w:eastAsia="ja-JP"/>
        </w:rPr>
        <w:t>teilweise zusammen mit Matthias Holland</w:t>
      </w:r>
      <w:r>
        <w:rPr>
          <w:color w:val="434343"/>
          <w:lang w:eastAsia="ja-JP"/>
        </w:rPr>
        <w:t xml:space="preserve">) Landesverfassungsrecht und </w:t>
      </w:r>
      <w:r>
        <w:rPr>
          <w:color w:val="434343"/>
          <w:lang w:eastAsia="ja-JP"/>
        </w:rPr>
        <w:lastRenderedPageBreak/>
        <w:t>Organisationsrecht, in: Siegel/Waldhoff, Öffentliches Recht in Berlin, München 2015, § 1</w:t>
      </w:r>
      <w:r w:rsidR="00754103">
        <w:rPr>
          <w:color w:val="434343"/>
          <w:lang w:eastAsia="ja-JP"/>
        </w:rPr>
        <w:t>, S. 1 – 145; 2. Aufl. München 2017, § 1, S. 1 – 148</w:t>
      </w:r>
      <w:r w:rsidR="00BD4B82">
        <w:rPr>
          <w:color w:val="434343"/>
          <w:lang w:eastAsia="ja-JP"/>
        </w:rPr>
        <w:t>; 3. Aufl. München 2020, § 1</w:t>
      </w:r>
      <w:r w:rsidR="00A12B83">
        <w:rPr>
          <w:color w:val="434343"/>
          <w:lang w:eastAsia="ja-JP"/>
        </w:rPr>
        <w:t xml:space="preserve">; 4. Aufl. München 2023, § 1, S. 1 – 139 </w:t>
      </w:r>
      <w:r w:rsidR="00754103">
        <w:rPr>
          <w:color w:val="434343"/>
          <w:lang w:eastAsia="ja-JP"/>
        </w:rPr>
        <w:t xml:space="preserve"> </w:t>
      </w:r>
    </w:p>
    <w:p w14:paraId="2B54EBBC" w14:textId="1B507B62" w:rsidR="00794F69" w:rsidRDefault="002A4EED" w:rsidP="00CE4EBA">
      <w:pPr>
        <w:widowControl w:val="0"/>
        <w:numPr>
          <w:ilvl w:val="0"/>
          <w:numId w:val="2"/>
        </w:numPr>
        <w:tabs>
          <w:tab w:val="left" w:pos="220"/>
          <w:tab w:val="left" w:pos="720"/>
        </w:tabs>
        <w:autoSpaceDE w:val="0"/>
        <w:autoSpaceDN w:val="0"/>
        <w:adjustRightInd w:val="0"/>
        <w:spacing w:after="80"/>
        <w:ind w:hanging="720"/>
        <w:rPr>
          <w:color w:val="434343"/>
          <w:lang w:eastAsia="ja-JP"/>
        </w:rPr>
      </w:pPr>
      <w:r>
        <w:rPr>
          <w:color w:val="434343"/>
          <w:lang w:eastAsia="ja-JP"/>
        </w:rPr>
        <w:t>Theologie</w:t>
      </w:r>
      <w:r w:rsidR="00794F69">
        <w:rPr>
          <w:color w:val="434343"/>
          <w:lang w:eastAsia="ja-JP"/>
        </w:rPr>
        <w:t xml:space="preserve"> an staatli</w:t>
      </w:r>
      <w:r>
        <w:rPr>
          <w:color w:val="434343"/>
          <w:lang w:eastAsia="ja-JP"/>
        </w:rPr>
        <w:t xml:space="preserve">chen Hochschulen, </w:t>
      </w:r>
      <w:r w:rsidR="0009697C">
        <w:rPr>
          <w:color w:val="434343"/>
          <w:lang w:eastAsia="ja-JP"/>
        </w:rPr>
        <w:t xml:space="preserve">in: </w:t>
      </w:r>
      <w:r w:rsidR="00794F69">
        <w:rPr>
          <w:color w:val="434343"/>
          <w:lang w:eastAsia="ja-JP"/>
        </w:rPr>
        <w:t>Dietrich Pirson/Wolfgang Rüfner/Michael Germann und Stefan Muckel</w:t>
      </w:r>
      <w:r w:rsidR="0009697C">
        <w:rPr>
          <w:color w:val="434343"/>
          <w:lang w:eastAsia="ja-JP"/>
        </w:rPr>
        <w:t xml:space="preserve"> (Hrsg.),</w:t>
      </w:r>
      <w:r w:rsidR="00794F69">
        <w:rPr>
          <w:color w:val="434343"/>
          <w:lang w:eastAsia="ja-JP"/>
        </w:rPr>
        <w:t xml:space="preserve"> Handbuchs des Staatskirchenrechts der Bundesrepublik Deutschland</w:t>
      </w:r>
      <w:r w:rsidR="0009697C">
        <w:rPr>
          <w:color w:val="434343"/>
          <w:lang w:eastAsia="ja-JP"/>
        </w:rPr>
        <w:t>, Bd. 2, 3. Aufl. Berlin 2020, § 46</w:t>
      </w:r>
      <w:r w:rsidR="00A05ECF">
        <w:rPr>
          <w:color w:val="434343"/>
          <w:lang w:eastAsia="ja-JP"/>
        </w:rPr>
        <w:t xml:space="preserve"> </w:t>
      </w:r>
      <w:r w:rsidR="0009697C">
        <w:rPr>
          <w:color w:val="434343"/>
          <w:lang w:eastAsia="ja-JP"/>
        </w:rPr>
        <w:t>(S. 1891 – 1977)</w:t>
      </w:r>
      <w:r w:rsidR="00794F69">
        <w:rPr>
          <w:color w:val="434343"/>
          <w:lang w:eastAsia="ja-JP"/>
        </w:rPr>
        <w:t xml:space="preserve"> </w:t>
      </w:r>
    </w:p>
    <w:p w14:paraId="588FDCF1" w14:textId="110EDC13" w:rsidR="00D561FB" w:rsidRDefault="00D561FB" w:rsidP="00CE4EBA">
      <w:pPr>
        <w:widowControl w:val="0"/>
        <w:numPr>
          <w:ilvl w:val="0"/>
          <w:numId w:val="2"/>
        </w:numPr>
        <w:tabs>
          <w:tab w:val="left" w:pos="220"/>
          <w:tab w:val="left" w:pos="720"/>
        </w:tabs>
        <w:autoSpaceDE w:val="0"/>
        <w:autoSpaceDN w:val="0"/>
        <w:adjustRightInd w:val="0"/>
        <w:spacing w:after="80"/>
        <w:ind w:hanging="720"/>
        <w:rPr>
          <w:color w:val="434343"/>
          <w:lang w:eastAsia="ja-JP"/>
        </w:rPr>
      </w:pPr>
      <w:r>
        <w:rPr>
          <w:color w:val="434343"/>
          <w:lang w:eastAsia="ja-JP"/>
        </w:rPr>
        <w:t>Parteien</w:t>
      </w:r>
      <w:r w:rsidR="00F32B4D">
        <w:rPr>
          <w:color w:val="434343"/>
          <w:lang w:eastAsia="ja-JP"/>
        </w:rPr>
        <w:t>-</w:t>
      </w:r>
      <w:r>
        <w:rPr>
          <w:color w:val="434343"/>
          <w:lang w:eastAsia="ja-JP"/>
        </w:rPr>
        <w:t>, Wahl</w:t>
      </w:r>
      <w:r w:rsidR="00F32B4D">
        <w:rPr>
          <w:color w:val="434343"/>
          <w:lang w:eastAsia="ja-JP"/>
        </w:rPr>
        <w:t>- und</w:t>
      </w:r>
      <w:r>
        <w:rPr>
          <w:color w:val="434343"/>
          <w:lang w:eastAsia="ja-JP"/>
        </w:rPr>
        <w:t xml:space="preserve"> Parlamentsrecht, </w:t>
      </w:r>
      <w:r w:rsidR="00F32B4D">
        <w:rPr>
          <w:color w:val="434343"/>
          <w:lang w:eastAsia="ja-JP"/>
        </w:rPr>
        <w:t>in:</w:t>
      </w:r>
      <w:r>
        <w:rPr>
          <w:color w:val="434343"/>
          <w:lang w:eastAsia="ja-JP"/>
        </w:rPr>
        <w:t xml:space="preserve"> Matthias Herdegen/Johannes Masing/Ralf Poscher</w:t>
      </w:r>
      <w:r w:rsidR="00F32B4D">
        <w:rPr>
          <w:color w:val="434343"/>
          <w:lang w:eastAsia="ja-JP"/>
        </w:rPr>
        <w:t>/</w:t>
      </w:r>
      <w:r w:rsidR="0091297F">
        <w:rPr>
          <w:color w:val="434343"/>
          <w:lang w:eastAsia="ja-JP"/>
        </w:rPr>
        <w:t>Klaus F. Gärditz</w:t>
      </w:r>
      <w:r w:rsidR="00F32B4D">
        <w:rPr>
          <w:color w:val="434343"/>
          <w:lang w:eastAsia="ja-JP"/>
        </w:rPr>
        <w:t xml:space="preserve"> (Hrsg.), </w:t>
      </w:r>
      <w:r>
        <w:rPr>
          <w:color w:val="434343"/>
          <w:lang w:eastAsia="ja-JP"/>
        </w:rPr>
        <w:t>Handbuch des Verfassungsrechts</w:t>
      </w:r>
      <w:r w:rsidR="00F32B4D">
        <w:rPr>
          <w:color w:val="434343"/>
          <w:lang w:eastAsia="ja-JP"/>
        </w:rPr>
        <w:t>. Darstellung in transnationaler Perspektive</w:t>
      </w:r>
      <w:r w:rsidR="00BB7CA1">
        <w:rPr>
          <w:color w:val="434343"/>
          <w:lang w:eastAsia="ja-JP"/>
        </w:rPr>
        <w:t xml:space="preserve">, </w:t>
      </w:r>
      <w:r w:rsidR="00F32B4D">
        <w:rPr>
          <w:color w:val="434343"/>
          <w:lang w:eastAsia="ja-JP"/>
        </w:rPr>
        <w:t xml:space="preserve">München 2021, </w:t>
      </w:r>
      <w:r w:rsidR="00BB7CA1">
        <w:rPr>
          <w:color w:val="434343"/>
          <w:lang w:eastAsia="ja-JP"/>
        </w:rPr>
        <w:t>§ 10 (S. 645 – 719)</w:t>
      </w:r>
      <w:r>
        <w:rPr>
          <w:color w:val="434343"/>
          <w:lang w:eastAsia="ja-JP"/>
        </w:rPr>
        <w:t xml:space="preserve"> (englische Ausgabe geplant)</w:t>
      </w:r>
    </w:p>
    <w:p w14:paraId="686FCD78" w14:textId="3C884CED" w:rsidR="00DF1336" w:rsidRDefault="00DF1336" w:rsidP="00CE4EBA">
      <w:pPr>
        <w:widowControl w:val="0"/>
        <w:numPr>
          <w:ilvl w:val="0"/>
          <w:numId w:val="2"/>
        </w:numPr>
        <w:tabs>
          <w:tab w:val="left" w:pos="220"/>
          <w:tab w:val="left" w:pos="720"/>
        </w:tabs>
        <w:autoSpaceDE w:val="0"/>
        <w:autoSpaceDN w:val="0"/>
        <w:adjustRightInd w:val="0"/>
        <w:spacing w:after="80"/>
        <w:ind w:hanging="720"/>
        <w:rPr>
          <w:color w:val="434343"/>
          <w:lang w:eastAsia="ja-JP"/>
        </w:rPr>
      </w:pPr>
      <w:r>
        <w:rPr>
          <w:color w:val="434343"/>
          <w:lang w:eastAsia="ja-JP"/>
        </w:rPr>
        <w:t>Verwaltung und Verwaltungsrecht, in</w:t>
      </w:r>
      <w:r w:rsidR="00E745C7">
        <w:rPr>
          <w:color w:val="434343"/>
          <w:lang w:eastAsia="ja-JP"/>
        </w:rPr>
        <w:t>:</w:t>
      </w:r>
      <w:r>
        <w:rPr>
          <w:color w:val="434343"/>
          <w:lang w:eastAsia="ja-JP"/>
        </w:rPr>
        <w:t xml:space="preserve"> Wolfgang Kahl/Markus Ludwigs (Hrsg.), Handbuch des Verwaltungsrechts, Bd. 1</w:t>
      </w:r>
      <w:r w:rsidR="00E745C7">
        <w:rPr>
          <w:color w:val="434343"/>
          <w:lang w:eastAsia="ja-JP"/>
        </w:rPr>
        <w:t>: Grundstrukturen des deutschen Verwaltungsrechts</w:t>
      </w:r>
      <w:r>
        <w:rPr>
          <w:color w:val="434343"/>
          <w:lang w:eastAsia="ja-JP"/>
        </w:rPr>
        <w:t xml:space="preserve">, </w:t>
      </w:r>
      <w:r w:rsidR="00E745C7">
        <w:rPr>
          <w:color w:val="434343"/>
          <w:lang w:eastAsia="ja-JP"/>
        </w:rPr>
        <w:t xml:space="preserve">Heidelberg 2021, </w:t>
      </w:r>
      <w:r>
        <w:rPr>
          <w:color w:val="434343"/>
          <w:lang w:eastAsia="ja-JP"/>
        </w:rPr>
        <w:t>§ 1</w:t>
      </w:r>
      <w:r w:rsidR="00E745C7">
        <w:rPr>
          <w:color w:val="434343"/>
          <w:lang w:eastAsia="ja-JP"/>
        </w:rPr>
        <w:t>1 (S. 411 – 452)</w:t>
      </w:r>
    </w:p>
    <w:p w14:paraId="53FBF5AA" w14:textId="3FAD9659" w:rsidR="00E745C7" w:rsidRDefault="00E745C7" w:rsidP="00E745C7">
      <w:pPr>
        <w:widowControl w:val="0"/>
        <w:numPr>
          <w:ilvl w:val="0"/>
          <w:numId w:val="2"/>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Ideengeschichtliche Grundlagen von Verwaltungsrechtsschutz, in: </w:t>
      </w:r>
      <w:r w:rsidR="00CD485D">
        <w:rPr>
          <w:color w:val="434343"/>
          <w:lang w:eastAsia="ja-JP"/>
        </w:rPr>
        <w:t>Armin von Bogdandy/</w:t>
      </w:r>
      <w:r>
        <w:rPr>
          <w:color w:val="434343"/>
          <w:lang w:eastAsia="ja-JP"/>
        </w:rPr>
        <w:t>Peter M. Huber/</w:t>
      </w:r>
      <w:r w:rsidR="00CD485D">
        <w:rPr>
          <w:color w:val="434343"/>
          <w:lang w:eastAsia="ja-JP"/>
        </w:rPr>
        <w:t>Lena Marcusson</w:t>
      </w:r>
      <w:r>
        <w:rPr>
          <w:color w:val="434343"/>
          <w:lang w:eastAsia="ja-JP"/>
        </w:rPr>
        <w:t xml:space="preserve"> (Hrsg.), Ius Publicum Europeaum, Bd. 9</w:t>
      </w:r>
      <w:r w:rsidR="00CD485D">
        <w:rPr>
          <w:color w:val="434343"/>
          <w:lang w:eastAsia="ja-JP"/>
        </w:rPr>
        <w:t>: Verwaltungsgerichtsbarkeit in Europa: Gemeineuropäische Perspektiven und supranationaler Rechtsschutz, Heidelberg 2021</w:t>
      </w:r>
      <w:r>
        <w:rPr>
          <w:color w:val="434343"/>
          <w:lang w:eastAsia="ja-JP"/>
        </w:rPr>
        <w:t>, § 140</w:t>
      </w:r>
      <w:r w:rsidR="00CD485D">
        <w:rPr>
          <w:color w:val="434343"/>
          <w:lang w:eastAsia="ja-JP"/>
        </w:rPr>
        <w:t xml:space="preserve"> (S. 3 – 49)</w:t>
      </w:r>
    </w:p>
    <w:p w14:paraId="016DBA3D" w14:textId="102454BC" w:rsidR="00621D64" w:rsidRDefault="00621D64" w:rsidP="00E745C7">
      <w:pPr>
        <w:widowControl w:val="0"/>
        <w:numPr>
          <w:ilvl w:val="0"/>
          <w:numId w:val="2"/>
        </w:numPr>
        <w:tabs>
          <w:tab w:val="left" w:pos="220"/>
          <w:tab w:val="left" w:pos="720"/>
        </w:tabs>
        <w:autoSpaceDE w:val="0"/>
        <w:autoSpaceDN w:val="0"/>
        <w:adjustRightInd w:val="0"/>
        <w:spacing w:after="80"/>
        <w:ind w:hanging="720"/>
        <w:rPr>
          <w:color w:val="434343"/>
          <w:lang w:eastAsia="ja-JP"/>
        </w:rPr>
      </w:pPr>
      <w:r>
        <w:rPr>
          <w:color w:val="434343"/>
          <w:lang w:eastAsia="ja-JP"/>
        </w:rPr>
        <w:t>(</w:t>
      </w:r>
      <w:r w:rsidRPr="00A23FFF">
        <w:rPr>
          <w:i/>
          <w:iCs/>
          <w:color w:val="434343"/>
          <w:lang w:eastAsia="ja-JP"/>
        </w:rPr>
        <w:t>zusammen mit</w:t>
      </w:r>
      <w:r>
        <w:rPr>
          <w:color w:val="434343"/>
          <w:lang w:eastAsia="ja-JP"/>
        </w:rPr>
        <w:t xml:space="preserve"> </w:t>
      </w:r>
      <w:r>
        <w:rPr>
          <w:i/>
          <w:color w:val="434343"/>
          <w:lang w:eastAsia="ja-JP"/>
        </w:rPr>
        <w:t>Thomas Stapperfend</w:t>
      </w:r>
      <w:r>
        <w:rPr>
          <w:color w:val="434343"/>
          <w:lang w:eastAsia="ja-JP"/>
        </w:rPr>
        <w:t>) Besteuerung von Religionsgemeinschaften, in</w:t>
      </w:r>
      <w:r w:rsidR="00A23FFF">
        <w:rPr>
          <w:color w:val="434343"/>
          <w:lang w:eastAsia="ja-JP"/>
        </w:rPr>
        <w:t>:</w:t>
      </w:r>
      <w:r>
        <w:rPr>
          <w:color w:val="434343"/>
          <w:lang w:eastAsia="ja-JP"/>
        </w:rPr>
        <w:t xml:space="preserve"> </w:t>
      </w:r>
      <w:r w:rsidR="004328DE">
        <w:rPr>
          <w:color w:val="434343"/>
          <w:lang w:eastAsia="ja-JP"/>
        </w:rPr>
        <w:t xml:space="preserve">Andreas </w:t>
      </w:r>
      <w:r>
        <w:rPr>
          <w:color w:val="434343"/>
          <w:lang w:eastAsia="ja-JP"/>
        </w:rPr>
        <w:t>Musil/</w:t>
      </w:r>
      <w:r w:rsidR="004328DE">
        <w:rPr>
          <w:color w:val="434343"/>
          <w:lang w:eastAsia="ja-JP"/>
        </w:rPr>
        <w:t xml:space="preserve">Thomas </w:t>
      </w:r>
      <w:r>
        <w:rPr>
          <w:color w:val="434343"/>
          <w:lang w:eastAsia="ja-JP"/>
        </w:rPr>
        <w:t>Küffner (Hrsg.), Besteuerung der öffentlichen Hand, Köln</w:t>
      </w:r>
      <w:r w:rsidR="00A23FFF">
        <w:rPr>
          <w:color w:val="434343"/>
          <w:lang w:eastAsia="ja-JP"/>
        </w:rPr>
        <w:t xml:space="preserve"> 2022, Kap. 12 (S. 843 – 944)</w:t>
      </w:r>
      <w:r w:rsidR="00A95063">
        <w:rPr>
          <w:color w:val="434343"/>
          <w:lang w:eastAsia="ja-JP"/>
        </w:rPr>
        <w:t>; 2. Aufl. erscheint 2025</w:t>
      </w:r>
    </w:p>
    <w:p w14:paraId="34D21026" w14:textId="436574A2" w:rsidR="006861B0" w:rsidRDefault="006861B0" w:rsidP="00E745C7">
      <w:pPr>
        <w:widowControl w:val="0"/>
        <w:numPr>
          <w:ilvl w:val="0"/>
          <w:numId w:val="2"/>
        </w:numPr>
        <w:tabs>
          <w:tab w:val="left" w:pos="220"/>
          <w:tab w:val="left" w:pos="720"/>
        </w:tabs>
        <w:autoSpaceDE w:val="0"/>
        <w:autoSpaceDN w:val="0"/>
        <w:adjustRightInd w:val="0"/>
        <w:spacing w:after="80"/>
        <w:ind w:hanging="720"/>
        <w:rPr>
          <w:color w:val="434343"/>
          <w:lang w:eastAsia="ja-JP"/>
        </w:rPr>
      </w:pPr>
      <w:r>
        <w:rPr>
          <w:color w:val="434343"/>
          <w:lang w:eastAsia="ja-JP"/>
        </w:rPr>
        <w:t>Rechtliche Verfasstheit des Staates, in: Uwe Kischel/Hanno Kube (Hrsg.), Handbuch des Staatsrechts</w:t>
      </w:r>
      <w:r w:rsidR="002C00FD">
        <w:rPr>
          <w:color w:val="434343"/>
          <w:lang w:eastAsia="ja-JP"/>
        </w:rPr>
        <w:t xml:space="preserve">, Bd. 1, </w:t>
      </w:r>
      <w:r w:rsidR="00F72D1F">
        <w:rPr>
          <w:color w:val="434343"/>
          <w:lang w:eastAsia="ja-JP"/>
        </w:rPr>
        <w:t xml:space="preserve">Heidelberg 2023, </w:t>
      </w:r>
      <w:r w:rsidR="002C00FD">
        <w:rPr>
          <w:color w:val="434343"/>
          <w:lang w:eastAsia="ja-JP"/>
        </w:rPr>
        <w:t>§ 5 (S. 205 – 263)</w:t>
      </w:r>
    </w:p>
    <w:p w14:paraId="5C8EBFD3" w14:textId="3E2834B6" w:rsidR="00A517E6" w:rsidRDefault="000E6374" w:rsidP="00E745C7">
      <w:pPr>
        <w:widowControl w:val="0"/>
        <w:numPr>
          <w:ilvl w:val="0"/>
          <w:numId w:val="2"/>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Verteidigungshaushalt und </w:t>
      </w:r>
      <w:r w:rsidR="00A517E6">
        <w:rPr>
          <w:color w:val="434343"/>
          <w:lang w:eastAsia="ja-JP"/>
        </w:rPr>
        <w:t>Finanzierung der Bundeswehr, erscheint als § 6 in: Sebastian von Kielmansegg</w:t>
      </w:r>
      <w:r>
        <w:rPr>
          <w:color w:val="434343"/>
          <w:lang w:eastAsia="ja-JP"/>
        </w:rPr>
        <w:t>/Jörg Terhechte</w:t>
      </w:r>
      <w:r w:rsidR="00A517E6">
        <w:rPr>
          <w:color w:val="434343"/>
          <w:lang w:eastAsia="ja-JP"/>
        </w:rPr>
        <w:t xml:space="preserve"> (Hrsg.), Handbuch Recht der Streitkräfte 202</w:t>
      </w:r>
      <w:r>
        <w:rPr>
          <w:color w:val="434343"/>
          <w:lang w:eastAsia="ja-JP"/>
        </w:rPr>
        <w:t>5</w:t>
      </w:r>
      <w:r w:rsidR="00A517E6">
        <w:rPr>
          <w:color w:val="434343"/>
          <w:lang w:eastAsia="ja-JP"/>
        </w:rPr>
        <w:t xml:space="preserve"> im Beck-Verlag, München </w:t>
      </w:r>
    </w:p>
    <w:p w14:paraId="64FC9000" w14:textId="5E9206BD" w:rsidR="004F76A7" w:rsidRPr="00E745C7" w:rsidRDefault="004F76A7" w:rsidP="00E745C7">
      <w:pPr>
        <w:widowControl w:val="0"/>
        <w:numPr>
          <w:ilvl w:val="0"/>
          <w:numId w:val="2"/>
        </w:numPr>
        <w:tabs>
          <w:tab w:val="left" w:pos="220"/>
          <w:tab w:val="left" w:pos="720"/>
        </w:tabs>
        <w:autoSpaceDE w:val="0"/>
        <w:autoSpaceDN w:val="0"/>
        <w:adjustRightInd w:val="0"/>
        <w:spacing w:after="80"/>
        <w:ind w:hanging="720"/>
        <w:rPr>
          <w:color w:val="434343"/>
          <w:lang w:eastAsia="ja-JP"/>
        </w:rPr>
      </w:pPr>
      <w:r>
        <w:rPr>
          <w:color w:val="434343"/>
          <w:lang w:eastAsia="ja-JP"/>
        </w:rPr>
        <w:t>Historische Entwicklung der administrativen Rechtsdurchsetzung, erscheint als § 222 in Bd. 8 des von Kahl/Ludiwgs hrsg. Handbuch des Verwaltungsrechts</w:t>
      </w:r>
    </w:p>
    <w:p w14:paraId="40D915E8" w14:textId="77777777" w:rsidR="00AE5B99" w:rsidRDefault="00AE5B99" w:rsidP="00CE4EBA">
      <w:pPr>
        <w:widowControl w:val="0"/>
        <w:tabs>
          <w:tab w:val="left" w:pos="220"/>
          <w:tab w:val="left" w:pos="720"/>
        </w:tabs>
        <w:autoSpaceDE w:val="0"/>
        <w:autoSpaceDN w:val="0"/>
        <w:adjustRightInd w:val="0"/>
        <w:spacing w:after="80"/>
        <w:rPr>
          <w:color w:val="434343"/>
          <w:lang w:eastAsia="ja-JP"/>
        </w:rPr>
      </w:pPr>
    </w:p>
    <w:p w14:paraId="065573F6" w14:textId="77777777" w:rsidR="00CA0516" w:rsidRPr="00AE5B99" w:rsidRDefault="00CA0516" w:rsidP="00CE4EBA">
      <w:pPr>
        <w:widowControl w:val="0"/>
        <w:tabs>
          <w:tab w:val="left" w:pos="220"/>
          <w:tab w:val="left" w:pos="720"/>
        </w:tabs>
        <w:autoSpaceDE w:val="0"/>
        <w:autoSpaceDN w:val="0"/>
        <w:adjustRightInd w:val="0"/>
        <w:spacing w:after="80"/>
        <w:rPr>
          <w:color w:val="434343"/>
          <w:lang w:eastAsia="ja-JP"/>
        </w:rPr>
      </w:pPr>
    </w:p>
    <w:p w14:paraId="632A2EC9" w14:textId="77777777" w:rsidR="00A43562" w:rsidRPr="000F2895" w:rsidRDefault="00A43562" w:rsidP="00CE4EBA">
      <w:pPr>
        <w:widowControl w:val="0"/>
        <w:autoSpaceDE w:val="0"/>
        <w:autoSpaceDN w:val="0"/>
        <w:adjustRightInd w:val="0"/>
        <w:spacing w:after="80"/>
        <w:rPr>
          <w:b/>
          <w:bCs/>
          <w:color w:val="25374D"/>
          <w:lang w:eastAsia="ja-JP"/>
        </w:rPr>
      </w:pPr>
      <w:r w:rsidRPr="000F2895">
        <w:rPr>
          <w:b/>
          <w:bCs/>
          <w:color w:val="25374D"/>
          <w:lang w:eastAsia="ja-JP"/>
        </w:rPr>
        <w:t>III. Kommentierungen</w:t>
      </w:r>
    </w:p>
    <w:p w14:paraId="007FF9A8" w14:textId="77777777" w:rsidR="000F2895" w:rsidRPr="000F2895" w:rsidRDefault="000F2895" w:rsidP="00CE4EBA">
      <w:pPr>
        <w:widowControl w:val="0"/>
        <w:autoSpaceDE w:val="0"/>
        <w:autoSpaceDN w:val="0"/>
        <w:adjustRightInd w:val="0"/>
        <w:spacing w:after="80"/>
        <w:rPr>
          <w:b/>
          <w:bCs/>
          <w:color w:val="25374D"/>
          <w:lang w:eastAsia="ja-JP"/>
        </w:rPr>
      </w:pPr>
    </w:p>
    <w:p w14:paraId="6451B620" w14:textId="1BBA0956" w:rsidR="00A43562" w:rsidRPr="00AE5B99" w:rsidRDefault="00A43562"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Klaus Vogel</w:t>
      </w:r>
      <w:r w:rsidRPr="00AE5B99">
        <w:rPr>
          <w:color w:val="434343"/>
          <w:lang w:eastAsia="ja-JP"/>
        </w:rPr>
        <w:t xml:space="preserve">) Vorbemerkungen zu Art. 104a - 115 GG, in: </w:t>
      </w:r>
      <w:r w:rsidR="0035112A">
        <w:rPr>
          <w:color w:val="434343"/>
          <w:lang w:eastAsia="ja-JP"/>
        </w:rPr>
        <w:t>Wolfgang Kahl</w:t>
      </w:r>
      <w:r w:rsidRPr="00AE5B99">
        <w:rPr>
          <w:color w:val="434343"/>
          <w:lang w:eastAsia="ja-JP"/>
        </w:rPr>
        <w:t>/</w:t>
      </w:r>
      <w:r w:rsidR="0035112A">
        <w:rPr>
          <w:color w:val="434343"/>
          <w:lang w:eastAsia="ja-JP"/>
        </w:rPr>
        <w:t>Christian Waldhoff</w:t>
      </w:r>
      <w:r w:rsidRPr="00AE5B99">
        <w:rPr>
          <w:color w:val="434343"/>
          <w:lang w:eastAsia="ja-JP"/>
        </w:rPr>
        <w:t>/</w:t>
      </w:r>
      <w:r w:rsidR="0035112A">
        <w:rPr>
          <w:color w:val="434343"/>
          <w:lang w:eastAsia="ja-JP"/>
        </w:rPr>
        <w:t>Christian Walter</w:t>
      </w:r>
      <w:r w:rsidRPr="00AE5B99">
        <w:rPr>
          <w:color w:val="434343"/>
          <w:lang w:eastAsia="ja-JP"/>
        </w:rPr>
        <w:t xml:space="preserve"> (Hrsg.), Bonner Kommentar zum Grundgesetz, Los</w:t>
      </w:r>
      <w:r w:rsidR="00AE3939">
        <w:rPr>
          <w:color w:val="434343"/>
          <w:lang w:eastAsia="ja-JP"/>
        </w:rPr>
        <w:t xml:space="preserve">eblattsammlung, Heidelberg (81. – </w:t>
      </w:r>
      <w:r w:rsidRPr="00AE5B99">
        <w:rPr>
          <w:color w:val="434343"/>
          <w:lang w:eastAsia="ja-JP"/>
        </w:rPr>
        <w:t>83.  Lieferung 1997/98)</w:t>
      </w:r>
    </w:p>
    <w:p w14:paraId="2DC4D30D" w14:textId="77777777" w:rsidR="00A43562" w:rsidRPr="00AE5B99" w:rsidRDefault="00A43562"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Kommentierung der Art. 23-27 EGV (Zollunion; S. 471-495); Art. 90-93 (steuerliche Bestimmungen; S. 1039-1062); Art. 135 (Zusammenarbeit im Zollwesen; S. 1348-1351) und Art. 268-280 (Finanzvorschriften; Haushalt; Betrugsbekämpfung; S. 1988-2043) in der Fassung des Vertrags von Amsterdam, in: Christian Calliess/Matthias Ruffert (Hrsg.), Kommentar zu EU-Vertrag und EG-Vertrag, Neuwied 1999</w:t>
      </w:r>
    </w:p>
    <w:p w14:paraId="72E16300" w14:textId="3B9CDD86" w:rsidR="00A43562" w:rsidRPr="00AE5B99" w:rsidRDefault="00A43562"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Moris Lehner</w:t>
      </w:r>
      <w:r w:rsidRPr="00AE5B99">
        <w:rPr>
          <w:color w:val="434343"/>
          <w:lang w:eastAsia="ja-JP"/>
        </w:rPr>
        <w:t>) Kommentierung von § 1 EStG (Steuerpflicht; Welteinkommensprinzip), in: Paul Kirchhof/Hartmut Söhn/Rudolf Mellinghoff (Hrsg.), Einkommensteuergesetz. Kommentar, Loseblattsammlung, Heidelberg (100. - 103. Lieferung 2000, 137. Lieferung November 2003)</w:t>
      </w:r>
      <w:r w:rsidR="00F749F1">
        <w:rPr>
          <w:color w:val="434343"/>
          <w:lang w:eastAsia="ja-JP"/>
        </w:rPr>
        <w:t>; Zweitbearbeitung</w:t>
      </w:r>
      <w:r w:rsidR="00EA4A0D">
        <w:rPr>
          <w:color w:val="434343"/>
          <w:lang w:eastAsia="ja-JP"/>
        </w:rPr>
        <w:t xml:space="preserve"> Teil A</w:t>
      </w:r>
      <w:r w:rsidR="00F749F1">
        <w:rPr>
          <w:color w:val="434343"/>
          <w:lang w:eastAsia="ja-JP"/>
        </w:rPr>
        <w:t>: 293. Lieferung Dezember 2018</w:t>
      </w:r>
      <w:r w:rsidR="00EA4A0D">
        <w:rPr>
          <w:color w:val="434343"/>
          <w:lang w:eastAsia="ja-JP"/>
        </w:rPr>
        <w:t xml:space="preserve"> sowie Teile B bis E (</w:t>
      </w:r>
      <w:r w:rsidR="00EA4A0D" w:rsidRPr="00EA4A0D">
        <w:rPr>
          <w:i/>
          <w:iCs/>
          <w:color w:val="434343"/>
          <w:lang w:eastAsia="ja-JP"/>
        </w:rPr>
        <w:t>zusammen mit Samuel Goldmann</w:t>
      </w:r>
      <w:r w:rsidR="00EA4A0D">
        <w:rPr>
          <w:color w:val="434343"/>
          <w:lang w:eastAsia="ja-JP"/>
        </w:rPr>
        <w:t>) August 2023</w:t>
      </w:r>
    </w:p>
    <w:p w14:paraId="4B9FE991" w14:textId="77777777" w:rsidR="00A43562" w:rsidRPr="00AE5B99" w:rsidRDefault="00A43562"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Kommentierung der Art. 23-27 EGV (Zollunion; S. 543-588); Art. 90-93 (steuerliche </w:t>
      </w:r>
      <w:r w:rsidRPr="00AE5B99">
        <w:rPr>
          <w:color w:val="434343"/>
          <w:lang w:eastAsia="ja-JP"/>
        </w:rPr>
        <w:lastRenderedPageBreak/>
        <w:t>Bestimmungen; S. 1226-1251); Art. 135 (Zusammenarbeit im Zollwesen; S. 1579-1582) und Art. 268-280 (Finanzvorschriften; Haushalt; Betrugsbekämpfung; S. 2321-2381) in der Fassung der Verträge von Amsterdam und von Nizza, in: Christian Calliess/Matthias Ruffert (Hrsg.), Kommentar zu EU-Vertrag und EG-Vertrag, 2. Aufl. Neuwied 2002</w:t>
      </w:r>
    </w:p>
    <w:p w14:paraId="50D02F2D" w14:textId="118741CB" w:rsidR="00A43562" w:rsidRPr="00AE5B99" w:rsidRDefault="00A43562"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Kommentierung von Art. 29 (Ausdehnung des räumlichen Anwendungsbereichs) OECD-Musterabkommen zur Vermeidung der Doppelbesteuerung, in: </w:t>
      </w:r>
      <w:r w:rsidR="001301C4">
        <w:rPr>
          <w:color w:val="434343"/>
          <w:lang w:eastAsia="ja-JP"/>
        </w:rPr>
        <w:t xml:space="preserve">Klaus </w:t>
      </w:r>
      <w:r w:rsidRPr="00AE5B99">
        <w:rPr>
          <w:color w:val="434343"/>
          <w:lang w:eastAsia="ja-JP"/>
        </w:rPr>
        <w:t>Vogel/</w:t>
      </w:r>
      <w:r w:rsidR="001301C4">
        <w:rPr>
          <w:color w:val="434343"/>
          <w:lang w:eastAsia="ja-JP"/>
        </w:rPr>
        <w:t xml:space="preserve">Moris </w:t>
      </w:r>
      <w:r w:rsidRPr="00AE5B99">
        <w:rPr>
          <w:color w:val="434343"/>
          <w:lang w:eastAsia="ja-JP"/>
        </w:rPr>
        <w:t>Lehner (Hrsg.), Doppelbesteuerungsabkommen. Kommentar, 4. Aufl. München 2003</w:t>
      </w:r>
    </w:p>
    <w:p w14:paraId="5DAEA078" w14:textId="77777777" w:rsidR="00A43562" w:rsidRPr="00AE5B99" w:rsidRDefault="00A43562"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Kommentierung von Art. I-31, I-52 und I-53 bis I-56 des Vertrages über eine Verfassung für Europa, in: Christian Calliess/Matthias Ruffert (Hrsg.), Verfassung der Europäischen Union. Kommentar der Grundlagenbestimmungen, München 2006</w:t>
      </w:r>
    </w:p>
    <w:p w14:paraId="0F4F149B" w14:textId="77777777" w:rsidR="00A43562" w:rsidRPr="00AE5B99" w:rsidRDefault="00A43562"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Kommentierung der Art. 23-27 EGV (Zollunion; S. 553 - 572), Art. 90-93 (steuerliche Bestimmungen; S. 1223 - 1246); Art. 135 (Zusammenarbeit im Zollwesen; S. 1563 - 1566), Art. 246-248 (Europäischer Rechnungshof; S. 2108 - 2117) und Art. 268-280 (Finanzvorschriften; Haushalt; Betrugsbekämpfung; S. 2260 - 2313), Art. 10 Grundrechtecharta (Gedanken-, Religions- und Gewissensfreiheit; S. 2571 - 2576) in: Christian Calliess/Matthias Ruffert (Hrsg.), Kommentar zu EUV und EGV, 3. Aufl. München 2007</w:t>
      </w:r>
    </w:p>
    <w:p w14:paraId="67D63F32" w14:textId="0BEE79B3" w:rsidR="00A43562" w:rsidRPr="00AE5B99" w:rsidRDefault="00A43562"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Kommentierung der Art. 19 (Öffentlicher Dienst) und 29 (Ausdehnung des räumlichen Anwendungsberiechs) OECD-Musterabkommen zur Vermeidung der Doppelbesteuerung, in: </w:t>
      </w:r>
      <w:r w:rsidR="001301C4">
        <w:rPr>
          <w:color w:val="434343"/>
          <w:lang w:eastAsia="ja-JP"/>
        </w:rPr>
        <w:t xml:space="preserve">Klaus </w:t>
      </w:r>
      <w:r w:rsidRPr="00AE5B99">
        <w:rPr>
          <w:color w:val="434343"/>
          <w:lang w:eastAsia="ja-JP"/>
        </w:rPr>
        <w:t>Vogel/</w:t>
      </w:r>
      <w:r w:rsidR="001301C4">
        <w:rPr>
          <w:color w:val="434343"/>
          <w:lang w:eastAsia="ja-JP"/>
        </w:rPr>
        <w:t xml:space="preserve">Moris </w:t>
      </w:r>
      <w:r w:rsidRPr="00AE5B99">
        <w:rPr>
          <w:color w:val="434343"/>
          <w:lang w:eastAsia="ja-JP"/>
        </w:rPr>
        <w:t>Lehner (Hrsg.), Doppelbesteuerungsabkommen. Kommentar, 5. Aufl. München 2008</w:t>
      </w:r>
    </w:p>
    <w:p w14:paraId="2143468B" w14:textId="77777777" w:rsidR="00A43562" w:rsidRPr="00AE5B99" w:rsidRDefault="00A43562"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Holger Grefrath</w:t>
      </w:r>
      <w:r w:rsidRPr="00AE5B99">
        <w:rPr>
          <w:color w:val="434343"/>
          <w:lang w:eastAsia="ja-JP"/>
        </w:rPr>
        <w:t>) Kommentierung der Art. 54, 55, 56, 57, 58, 60 und 61 GG (Bundespräsident), in: Karl Heinrich Friauf/Wolfram Höfling (Hrsg.), Berliner Kommentar zum Grundgesetz, Berlin, Loseblattsammlung (27. Lieferung Juli 2009)</w:t>
      </w:r>
    </w:p>
    <w:p w14:paraId="2CF6131F" w14:textId="77777777" w:rsidR="00A43562" w:rsidRPr="00AE5B99" w:rsidRDefault="00A43562"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Kommentierung von § 7 EStG (Abschreibungen für Absetzungen; AfA), in: Paul Kirchhof/Hartmut Söhn/Rudolf Mellinghoff (Hrsg.), Einkommensteuergesetz. Kommentar, Heidelberg, Loseblattsammlung (201. Lieferung September 2009; 202. Lieferung Oktober 2009)</w:t>
      </w:r>
    </w:p>
    <w:p w14:paraId="774850D1" w14:textId="77777777" w:rsidR="00A43562" w:rsidRPr="00AE5B99" w:rsidRDefault="00A43562"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Kommentierung der Art. 17 (Kirchen; S. 570 - 576); 28 - 33 (Zollunion; S. 657 - 680); 110 - 113 (Steuern; 1488 - 1510); 285 - 287 (Rechnungshof; S. 2432 - 2441); 310 - 325 (Haushalt; S. 2585 - 2642) AEUV; Art. 10 GrCH (Gedanken-, Religions- und Gewissensfreiheit; S. 2819 - 2824), in: Christian Calliess/Matthias Ruffert (Hrsg.), Kommentar zu EUV und AEUV 4. Aufl. München 2011</w:t>
      </w:r>
    </w:p>
    <w:p w14:paraId="2C5169D9" w14:textId="0FA18E0C" w:rsidR="00A43562" w:rsidRPr="00AE5B99" w:rsidRDefault="00A43562"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Kommentierung der §§ 167, 168, 169, 170, 171 und 172 VwGO sowie Einführung Teil A: Geschichte der Verwaltungsgerichtsbarkeit, in: Klaus F. Gärditz (Hrsg.), Verwaltungsgerichtsordnung (VwGO) mit Nebengesetzen. Kommentar, Köln 2013, S. 1 – 9 und S. 1455 </w:t>
      </w:r>
      <w:r w:rsidR="003E2061">
        <w:rPr>
          <w:color w:val="434343"/>
          <w:lang w:eastAsia="ja-JP"/>
        </w:rPr>
        <w:t>–</w:t>
      </w:r>
      <w:r w:rsidRPr="00AE5B99">
        <w:rPr>
          <w:color w:val="434343"/>
          <w:lang w:eastAsia="ja-JP"/>
        </w:rPr>
        <w:t xml:space="preserve"> 1471</w:t>
      </w:r>
      <w:r w:rsidR="003E2061">
        <w:rPr>
          <w:color w:val="434343"/>
          <w:lang w:eastAsia="ja-JP"/>
        </w:rPr>
        <w:t>; S. 1-9 und S. 1532 – 1549, 2. Aufl. Köln 2018</w:t>
      </w:r>
    </w:p>
    <w:p w14:paraId="4A56707D" w14:textId="77777777" w:rsidR="00A43562" w:rsidRPr="00AE5B99" w:rsidRDefault="00A43562"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Vorbemerkungen zu Art. 127 bis 133: Währungspolitik; Kommentierung von Art. 127 AEUV; Art. 1 - 4 der Satzung des Europäischen Systems der Zentralbanken und der Europäischen Zentralbank, in: Helmut Siekmann (Hrsg.), Kommentar zur Europäischen Währungsunion, Tübingen 2013 (S. 256 - 262; 263 - 322; 801 - 804)</w:t>
      </w:r>
    </w:p>
    <w:p w14:paraId="71265043" w14:textId="341177F4" w:rsidR="00A43562" w:rsidRDefault="00A43562"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Kommentierung von Art. 2</w:t>
      </w:r>
      <w:r w:rsidR="00680FA6">
        <w:rPr>
          <w:color w:val="434343"/>
          <w:lang w:eastAsia="ja-JP"/>
        </w:rPr>
        <w:t>9 OECD-Musterabkommen,</w:t>
      </w:r>
      <w:r w:rsidRPr="00AE5B99">
        <w:rPr>
          <w:color w:val="434343"/>
          <w:lang w:eastAsia="ja-JP"/>
        </w:rPr>
        <w:t xml:space="preserve"> in: </w:t>
      </w:r>
      <w:r w:rsidR="001301C4">
        <w:rPr>
          <w:color w:val="434343"/>
          <w:lang w:eastAsia="ja-JP"/>
        </w:rPr>
        <w:t xml:space="preserve">Klaus </w:t>
      </w:r>
      <w:r w:rsidRPr="00AE5B99">
        <w:rPr>
          <w:color w:val="434343"/>
          <w:lang w:eastAsia="ja-JP"/>
        </w:rPr>
        <w:t>Vogel/</w:t>
      </w:r>
      <w:r w:rsidR="001301C4">
        <w:rPr>
          <w:color w:val="434343"/>
          <w:lang w:eastAsia="ja-JP"/>
        </w:rPr>
        <w:t xml:space="preserve">Moris </w:t>
      </w:r>
      <w:r w:rsidRPr="00AE5B99">
        <w:rPr>
          <w:color w:val="434343"/>
          <w:lang w:eastAsia="ja-JP"/>
        </w:rPr>
        <w:t>Le</w:t>
      </w:r>
      <w:r w:rsidR="005309D9">
        <w:rPr>
          <w:color w:val="434343"/>
          <w:lang w:eastAsia="ja-JP"/>
        </w:rPr>
        <w:t>hner (Hrsg.), DBA</w:t>
      </w:r>
      <w:r w:rsidR="001301C4">
        <w:rPr>
          <w:color w:val="434343"/>
          <w:lang w:eastAsia="ja-JP"/>
        </w:rPr>
        <w:t>. Kommentar</w:t>
      </w:r>
      <w:r w:rsidR="005309D9">
        <w:rPr>
          <w:color w:val="434343"/>
          <w:lang w:eastAsia="ja-JP"/>
        </w:rPr>
        <w:t xml:space="preserve">, 6. Aufl. </w:t>
      </w:r>
      <w:r w:rsidR="007D642A">
        <w:rPr>
          <w:color w:val="434343"/>
          <w:lang w:eastAsia="ja-JP"/>
        </w:rPr>
        <w:t xml:space="preserve">München </w:t>
      </w:r>
      <w:r w:rsidR="00680FA6">
        <w:rPr>
          <w:color w:val="434343"/>
          <w:lang w:eastAsia="ja-JP"/>
        </w:rPr>
        <w:t xml:space="preserve">2015, S. 2497 – 2503 </w:t>
      </w:r>
    </w:p>
    <w:p w14:paraId="2F37D7CB" w14:textId="30BAD8EA" w:rsidR="00C64E23" w:rsidRDefault="00794F69"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Kommentierung von § 1 PUAG, in: </w:t>
      </w:r>
      <w:r w:rsidR="001301C4">
        <w:rPr>
          <w:color w:val="434343"/>
          <w:lang w:eastAsia="ja-JP"/>
        </w:rPr>
        <w:t xml:space="preserve">Christian </w:t>
      </w:r>
      <w:r>
        <w:rPr>
          <w:color w:val="434343"/>
          <w:lang w:eastAsia="ja-JP"/>
        </w:rPr>
        <w:t>Waldhoff/</w:t>
      </w:r>
      <w:r w:rsidR="001301C4">
        <w:rPr>
          <w:color w:val="434343"/>
          <w:lang w:eastAsia="ja-JP"/>
        </w:rPr>
        <w:t xml:space="preserve">Klaus F. </w:t>
      </w:r>
      <w:r>
        <w:rPr>
          <w:color w:val="434343"/>
          <w:lang w:eastAsia="ja-JP"/>
        </w:rPr>
        <w:t>Gärditz (Hrsg.), PUAG</w:t>
      </w:r>
      <w:r w:rsidR="00057B1C">
        <w:rPr>
          <w:color w:val="434343"/>
          <w:lang w:eastAsia="ja-JP"/>
        </w:rPr>
        <w:t>. Kommentar, München 2015, S. 75 – 99</w:t>
      </w:r>
    </w:p>
    <w:p w14:paraId="1C7B22DB" w14:textId="7B2B0494" w:rsidR="00C64E23" w:rsidRDefault="00C64E23"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lastRenderedPageBreak/>
        <w:t>Kommentierung de</w:t>
      </w:r>
      <w:r w:rsidR="005334F1">
        <w:rPr>
          <w:color w:val="434343"/>
          <w:lang w:eastAsia="ja-JP"/>
        </w:rPr>
        <w:t>r Art. 17 (Kirchen; S. 564 - 570); 28 - 33 (Zollunion; S. 651 - 673</w:t>
      </w:r>
      <w:r w:rsidRPr="00AE5B99">
        <w:rPr>
          <w:color w:val="434343"/>
          <w:lang w:eastAsia="ja-JP"/>
        </w:rPr>
        <w:t>)</w:t>
      </w:r>
      <w:r w:rsidR="003E1524">
        <w:rPr>
          <w:color w:val="434343"/>
          <w:lang w:eastAsia="ja-JP"/>
        </w:rPr>
        <w:t>; 110 - 113 (Steuern; 1488 - 15</w:t>
      </w:r>
      <w:r w:rsidRPr="00AE5B99">
        <w:rPr>
          <w:color w:val="434343"/>
          <w:lang w:eastAsia="ja-JP"/>
        </w:rPr>
        <w:t>0</w:t>
      </w:r>
      <w:r w:rsidR="003E1524">
        <w:rPr>
          <w:color w:val="434343"/>
          <w:lang w:eastAsia="ja-JP"/>
        </w:rPr>
        <w:t>6</w:t>
      </w:r>
      <w:r w:rsidRPr="00AE5B99">
        <w:rPr>
          <w:color w:val="434343"/>
          <w:lang w:eastAsia="ja-JP"/>
        </w:rPr>
        <w:t xml:space="preserve">); </w:t>
      </w:r>
      <w:r w:rsidR="005334F1">
        <w:rPr>
          <w:color w:val="434343"/>
          <w:lang w:eastAsia="ja-JP"/>
        </w:rPr>
        <w:t>285 - 287 (Rechnungshof; S. 2415 - 2423</w:t>
      </w:r>
      <w:r w:rsidR="004C3903">
        <w:rPr>
          <w:color w:val="434343"/>
          <w:lang w:eastAsia="ja-JP"/>
        </w:rPr>
        <w:t>); 310 - 325 (Haushalt; S. 2570 - 262</w:t>
      </w:r>
      <w:r w:rsidRPr="00AE5B99">
        <w:rPr>
          <w:color w:val="434343"/>
          <w:lang w:eastAsia="ja-JP"/>
        </w:rPr>
        <w:t>2) AEUV; Art. 10 GrCH (Gedanken-, Religions</w:t>
      </w:r>
      <w:r w:rsidR="003E1524">
        <w:rPr>
          <w:color w:val="434343"/>
          <w:lang w:eastAsia="ja-JP"/>
        </w:rPr>
        <w:t>- und Gewissensfreiheit; S. 2801</w:t>
      </w:r>
      <w:r w:rsidRPr="00AE5B99">
        <w:rPr>
          <w:color w:val="434343"/>
          <w:lang w:eastAsia="ja-JP"/>
        </w:rPr>
        <w:t xml:space="preserve"> - 28</w:t>
      </w:r>
      <w:r w:rsidR="003E1524">
        <w:rPr>
          <w:color w:val="434343"/>
          <w:lang w:eastAsia="ja-JP"/>
        </w:rPr>
        <w:t>06</w:t>
      </w:r>
      <w:r w:rsidRPr="00AE5B99">
        <w:rPr>
          <w:color w:val="434343"/>
          <w:lang w:eastAsia="ja-JP"/>
        </w:rPr>
        <w:t>), in: Christian Calliess/Matthias Ruffert (Hrs</w:t>
      </w:r>
      <w:r>
        <w:rPr>
          <w:color w:val="434343"/>
          <w:lang w:eastAsia="ja-JP"/>
        </w:rPr>
        <w:t>g.), Kommentar zu EUV und AEUV 5. Aufl. München 2016</w:t>
      </w:r>
    </w:p>
    <w:p w14:paraId="1475F9A6" w14:textId="507C0D92" w:rsidR="00621FF9" w:rsidRDefault="00621FF9"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Pr>
          <w:color w:val="434343"/>
          <w:lang w:eastAsia="ja-JP"/>
        </w:rPr>
        <w:t>Kommentierung der §§ 50 – 54 AbgG (Fraktionsfinanzierung), in</w:t>
      </w:r>
      <w:r w:rsidR="00711E95">
        <w:rPr>
          <w:color w:val="434343"/>
          <w:lang w:eastAsia="ja-JP"/>
        </w:rPr>
        <w:t>:</w:t>
      </w:r>
      <w:r>
        <w:rPr>
          <w:color w:val="434343"/>
          <w:lang w:eastAsia="ja-JP"/>
        </w:rPr>
        <w:t xml:space="preserve"> Philipp Austermann</w:t>
      </w:r>
      <w:r w:rsidR="000A6625">
        <w:rPr>
          <w:color w:val="434343"/>
          <w:lang w:eastAsia="ja-JP"/>
        </w:rPr>
        <w:t>/Stefan</w:t>
      </w:r>
      <w:r w:rsidR="00711E95">
        <w:rPr>
          <w:color w:val="434343"/>
          <w:lang w:eastAsia="ja-JP"/>
        </w:rPr>
        <w:t>i</w:t>
      </w:r>
      <w:r w:rsidR="000A6625">
        <w:rPr>
          <w:color w:val="434343"/>
          <w:lang w:eastAsia="ja-JP"/>
        </w:rPr>
        <w:t>e</w:t>
      </w:r>
      <w:r w:rsidR="00711E95">
        <w:rPr>
          <w:color w:val="434343"/>
          <w:lang w:eastAsia="ja-JP"/>
        </w:rPr>
        <w:t xml:space="preserve"> Schmahl</w:t>
      </w:r>
      <w:r>
        <w:rPr>
          <w:color w:val="434343"/>
          <w:lang w:eastAsia="ja-JP"/>
        </w:rPr>
        <w:t xml:space="preserve"> </w:t>
      </w:r>
      <w:r w:rsidR="00711E95">
        <w:rPr>
          <w:color w:val="434343"/>
          <w:lang w:eastAsia="ja-JP"/>
        </w:rPr>
        <w:t>(H</w:t>
      </w:r>
      <w:r>
        <w:rPr>
          <w:color w:val="434343"/>
          <w:lang w:eastAsia="ja-JP"/>
        </w:rPr>
        <w:t>rsg.</w:t>
      </w:r>
      <w:r w:rsidR="00711E95">
        <w:rPr>
          <w:color w:val="434343"/>
          <w:lang w:eastAsia="ja-JP"/>
        </w:rPr>
        <w:t>),</w:t>
      </w:r>
      <w:r>
        <w:rPr>
          <w:color w:val="434343"/>
          <w:lang w:eastAsia="ja-JP"/>
        </w:rPr>
        <w:t xml:space="preserve"> Abgeordnetengesetz</w:t>
      </w:r>
      <w:r w:rsidR="00711E95">
        <w:rPr>
          <w:color w:val="434343"/>
          <w:lang w:eastAsia="ja-JP"/>
        </w:rPr>
        <w:t>,</w:t>
      </w:r>
      <w:r>
        <w:rPr>
          <w:color w:val="434343"/>
          <w:lang w:eastAsia="ja-JP"/>
        </w:rPr>
        <w:t xml:space="preserve"> Baden-Baden</w:t>
      </w:r>
      <w:r w:rsidR="00711E95">
        <w:rPr>
          <w:color w:val="434343"/>
          <w:lang w:eastAsia="ja-JP"/>
        </w:rPr>
        <w:t xml:space="preserve"> 2016 (S. 706 – 781)</w:t>
      </w:r>
    </w:p>
    <w:p w14:paraId="0AD4BF13" w14:textId="4AE77149" w:rsidR="005310FA" w:rsidRDefault="005310FA"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Pr>
          <w:color w:val="434343"/>
          <w:lang w:eastAsia="ja-JP"/>
        </w:rPr>
        <w:t>Kommentierung der §§</w:t>
      </w:r>
      <w:r w:rsidR="005B4D0D">
        <w:rPr>
          <w:color w:val="434343"/>
          <w:lang w:eastAsia="ja-JP"/>
        </w:rPr>
        <w:t xml:space="preserve"> </w:t>
      </w:r>
      <w:r w:rsidR="009A6968">
        <w:rPr>
          <w:color w:val="434343"/>
          <w:lang w:eastAsia="ja-JP"/>
        </w:rPr>
        <w:t>36 – 47; 49 – 62 BVerfGG (Grundrechtsverwirkung; Parteiverbot; Präsidentenanklage; Richteranklage)</w:t>
      </w:r>
      <w:r w:rsidR="00B042BD">
        <w:rPr>
          <w:color w:val="434343"/>
          <w:lang w:eastAsia="ja-JP"/>
        </w:rPr>
        <w:t xml:space="preserve">, in: Christian Walter/Benedikt Grünewald (Hrsg.), Beck’scher </w:t>
      </w:r>
      <w:r w:rsidR="009A6968">
        <w:rPr>
          <w:color w:val="434343"/>
          <w:lang w:eastAsia="ja-JP"/>
        </w:rPr>
        <w:t>Online Kommentar BVer</w:t>
      </w:r>
      <w:r w:rsidR="005B4D0D">
        <w:rPr>
          <w:color w:val="434343"/>
          <w:lang w:eastAsia="ja-JP"/>
        </w:rPr>
        <w:t xml:space="preserve">fGG, </w:t>
      </w:r>
      <w:r w:rsidR="003D61B2">
        <w:rPr>
          <w:color w:val="434343"/>
          <w:lang w:eastAsia="ja-JP"/>
        </w:rPr>
        <w:t>9</w:t>
      </w:r>
      <w:r w:rsidR="00B042BD">
        <w:rPr>
          <w:color w:val="434343"/>
          <w:lang w:eastAsia="ja-JP"/>
        </w:rPr>
        <w:t xml:space="preserve">. Edition Stand </w:t>
      </w:r>
      <w:r w:rsidR="005B4D0D">
        <w:rPr>
          <w:color w:val="434343"/>
          <w:lang w:eastAsia="ja-JP"/>
        </w:rPr>
        <w:t>Ju</w:t>
      </w:r>
      <w:r w:rsidR="003D61B2">
        <w:rPr>
          <w:color w:val="434343"/>
          <w:lang w:eastAsia="ja-JP"/>
        </w:rPr>
        <w:t>l</w:t>
      </w:r>
      <w:r w:rsidR="005B4D0D">
        <w:rPr>
          <w:color w:val="434343"/>
          <w:lang w:eastAsia="ja-JP"/>
        </w:rPr>
        <w:t>i 20</w:t>
      </w:r>
      <w:r w:rsidR="003D61B2">
        <w:rPr>
          <w:color w:val="434343"/>
          <w:lang w:eastAsia="ja-JP"/>
        </w:rPr>
        <w:t>20</w:t>
      </w:r>
      <w:r w:rsidR="00DF1336">
        <w:rPr>
          <w:color w:val="434343"/>
          <w:lang w:eastAsia="ja-JP"/>
        </w:rPr>
        <w:t xml:space="preserve"> (=Christian Walter/Benedikt Grünewald (Hrsg.), Bundesverfassungsgerichtsgesetz. Kommentar, 2020, §§ 36 - 47 (Verwirkung von Grundrechten; Parteiverbot; S. 217 - 247), §§ 49 – 62 (Präsidentenanklage; Richteranklage; S. 254 – 268)</w:t>
      </w:r>
    </w:p>
    <w:p w14:paraId="02AD4B99" w14:textId="7931B361" w:rsidR="00BD1866" w:rsidRDefault="00BD1866"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Kommentierung der Art. 122, 127, 128, 129, 130, 133, 136 und 139 GG, in: Wolfgang Kahl/Christian Waldhoff/Christian Walter (Hrsg.), Bonner Kommentar zum Grundgesetz, </w:t>
      </w:r>
      <w:r w:rsidR="00F33A03">
        <w:rPr>
          <w:color w:val="434343"/>
          <w:lang w:eastAsia="ja-JP"/>
        </w:rPr>
        <w:t>204.</w:t>
      </w:r>
      <w:r w:rsidR="00C84E34">
        <w:rPr>
          <w:color w:val="434343"/>
          <w:lang w:eastAsia="ja-JP"/>
        </w:rPr>
        <w:t xml:space="preserve"> </w:t>
      </w:r>
      <w:r w:rsidR="00F33A03">
        <w:rPr>
          <w:color w:val="434343"/>
          <w:lang w:eastAsia="ja-JP"/>
        </w:rPr>
        <w:t>Nachlieferung</w:t>
      </w:r>
      <w:r>
        <w:rPr>
          <w:color w:val="434343"/>
          <w:lang w:eastAsia="ja-JP"/>
        </w:rPr>
        <w:t xml:space="preserve"> Juni 2020</w:t>
      </w:r>
    </w:p>
    <w:p w14:paraId="5C3CB827" w14:textId="77777777" w:rsidR="00237BDC" w:rsidRDefault="001301C4" w:rsidP="00CE4EBA">
      <w:pPr>
        <w:widowControl w:val="0"/>
        <w:numPr>
          <w:ilvl w:val="0"/>
          <w:numId w:val="3"/>
        </w:numPr>
        <w:tabs>
          <w:tab w:val="left" w:pos="220"/>
          <w:tab w:val="left" w:pos="720"/>
        </w:tabs>
        <w:autoSpaceDE w:val="0"/>
        <w:autoSpaceDN w:val="0"/>
        <w:adjustRightInd w:val="0"/>
        <w:spacing w:after="80"/>
        <w:ind w:hanging="720"/>
        <w:rPr>
          <w:color w:val="434343"/>
          <w:lang w:eastAsia="ja-JP"/>
        </w:rPr>
      </w:pPr>
      <w:r>
        <w:rPr>
          <w:color w:val="434343"/>
          <w:lang w:eastAsia="ja-JP"/>
        </w:rPr>
        <w:t>Kommentierung von Art. 30 OECD-Musterabkommen, in: Klaus Vogel/Moris Lehner (Hrsg.), DBA. Kommentar, 7. Aufl. München 2021, S. 2818 – 2825</w:t>
      </w:r>
    </w:p>
    <w:p w14:paraId="427D57A8" w14:textId="77777777" w:rsidR="005C2002" w:rsidRDefault="00237BDC" w:rsidP="00237BDC">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Kommentierung de</w:t>
      </w:r>
      <w:r>
        <w:rPr>
          <w:color w:val="434343"/>
          <w:lang w:eastAsia="ja-JP"/>
        </w:rPr>
        <w:t>r Art. 17 (Kirchen; S. 577 - 583); 28 - 33 (Zollunion; S. 666 - 685</w:t>
      </w:r>
      <w:r w:rsidRPr="00AE5B99">
        <w:rPr>
          <w:color w:val="434343"/>
          <w:lang w:eastAsia="ja-JP"/>
        </w:rPr>
        <w:t>)</w:t>
      </w:r>
      <w:r>
        <w:rPr>
          <w:color w:val="434343"/>
          <w:lang w:eastAsia="ja-JP"/>
        </w:rPr>
        <w:t>; 110 - 113 (Steuern; S. 1467 - 1483</w:t>
      </w:r>
      <w:r w:rsidRPr="00AE5B99">
        <w:rPr>
          <w:color w:val="434343"/>
          <w:lang w:eastAsia="ja-JP"/>
        </w:rPr>
        <w:t xml:space="preserve">); </w:t>
      </w:r>
      <w:r>
        <w:rPr>
          <w:color w:val="434343"/>
          <w:lang w:eastAsia="ja-JP"/>
        </w:rPr>
        <w:t>285 - 287 (Rechnungshof; S. 2361 - 2368); 310 - 325 (Haushalt; S. 2508 - 2557</w:t>
      </w:r>
      <w:r w:rsidRPr="00AE5B99">
        <w:rPr>
          <w:color w:val="434343"/>
          <w:lang w:eastAsia="ja-JP"/>
        </w:rPr>
        <w:t>) AEUV; Art. 10 GrCH (Gedanken-, Religions</w:t>
      </w:r>
      <w:r>
        <w:rPr>
          <w:color w:val="434343"/>
          <w:lang w:eastAsia="ja-JP"/>
        </w:rPr>
        <w:t>- und Gewissensfreiheit; S. 2728</w:t>
      </w:r>
      <w:r w:rsidRPr="00AE5B99">
        <w:rPr>
          <w:color w:val="434343"/>
          <w:lang w:eastAsia="ja-JP"/>
        </w:rPr>
        <w:t xml:space="preserve"> - 2</w:t>
      </w:r>
      <w:r>
        <w:rPr>
          <w:color w:val="434343"/>
          <w:lang w:eastAsia="ja-JP"/>
        </w:rPr>
        <w:t>733</w:t>
      </w:r>
      <w:r w:rsidRPr="00AE5B99">
        <w:rPr>
          <w:color w:val="434343"/>
          <w:lang w:eastAsia="ja-JP"/>
        </w:rPr>
        <w:t>), in: Christian Calliess/Matthias Ruffert (Hrs</w:t>
      </w:r>
      <w:r>
        <w:rPr>
          <w:color w:val="434343"/>
          <w:lang w:eastAsia="ja-JP"/>
        </w:rPr>
        <w:t>g.), Kommentar zu EUV und AEUV 6. Aufl. München 2022</w:t>
      </w:r>
    </w:p>
    <w:p w14:paraId="02BB9038" w14:textId="7A9E09BB" w:rsidR="001301C4" w:rsidRDefault="005C2002" w:rsidP="00237BDC">
      <w:pPr>
        <w:widowControl w:val="0"/>
        <w:numPr>
          <w:ilvl w:val="0"/>
          <w:numId w:val="3"/>
        </w:numPr>
        <w:tabs>
          <w:tab w:val="left" w:pos="220"/>
          <w:tab w:val="left" w:pos="720"/>
        </w:tabs>
        <w:autoSpaceDE w:val="0"/>
        <w:autoSpaceDN w:val="0"/>
        <w:adjustRightInd w:val="0"/>
        <w:spacing w:after="80"/>
        <w:ind w:hanging="720"/>
        <w:rPr>
          <w:color w:val="434343"/>
          <w:lang w:val="en-US" w:eastAsia="ja-JP"/>
        </w:rPr>
      </w:pPr>
      <w:r w:rsidRPr="00CD7D9B">
        <w:rPr>
          <w:color w:val="434343"/>
          <w:lang w:val="en-US" w:eastAsia="ja-JP"/>
        </w:rPr>
        <w:t xml:space="preserve">Priliminary notes to Articles 127-133: monetary policy (p. 247 – 252); Article 127 TFEU (zusammen mit </w:t>
      </w:r>
      <w:r w:rsidRPr="00CD7D9B">
        <w:rPr>
          <w:i/>
          <w:color w:val="434343"/>
          <w:lang w:val="en-US" w:eastAsia="ja-JP"/>
        </w:rPr>
        <w:t>Jari Friebel</w:t>
      </w:r>
      <w:r w:rsidRPr="00CD7D9B">
        <w:rPr>
          <w:color w:val="434343"/>
          <w:lang w:val="en-US" w:eastAsia="ja-JP"/>
        </w:rPr>
        <w:t xml:space="preserve">) (p. 253 – 322), in: Helmut Siekmann (ed.), The European Monetary Union. </w:t>
      </w:r>
      <w:r w:rsidRPr="005C2002">
        <w:rPr>
          <w:color w:val="434343"/>
          <w:lang w:val="en-US" w:eastAsia="ja-JP"/>
        </w:rPr>
        <w:t>A Commentary on the Legal Foundations, Oxford 2022 (aktualisierte Übersetzung von Nr. 13)</w:t>
      </w:r>
    </w:p>
    <w:p w14:paraId="1BE85794" w14:textId="0C26015E" w:rsidR="00CF77BD" w:rsidRDefault="00CF77BD" w:rsidP="00237BDC">
      <w:pPr>
        <w:widowControl w:val="0"/>
        <w:numPr>
          <w:ilvl w:val="0"/>
          <w:numId w:val="3"/>
        </w:numPr>
        <w:tabs>
          <w:tab w:val="left" w:pos="220"/>
          <w:tab w:val="left" w:pos="720"/>
        </w:tabs>
        <w:autoSpaceDE w:val="0"/>
        <w:autoSpaceDN w:val="0"/>
        <w:adjustRightInd w:val="0"/>
        <w:spacing w:after="80"/>
        <w:ind w:hanging="720"/>
        <w:rPr>
          <w:color w:val="434343"/>
          <w:lang w:eastAsia="ja-JP"/>
        </w:rPr>
      </w:pPr>
      <w:r w:rsidRPr="00BA4572">
        <w:rPr>
          <w:color w:val="434343"/>
          <w:lang w:eastAsia="ja-JP"/>
        </w:rPr>
        <w:t>Kommentierung der §§ 58 – 62 AbgG</w:t>
      </w:r>
      <w:r w:rsidR="008E205C">
        <w:rPr>
          <w:color w:val="434343"/>
          <w:lang w:eastAsia="ja-JP"/>
        </w:rPr>
        <w:t xml:space="preserve"> (Fraktionsfinanzierung)</w:t>
      </w:r>
      <w:r w:rsidRPr="00BA4572">
        <w:rPr>
          <w:color w:val="434343"/>
          <w:lang w:eastAsia="ja-JP"/>
        </w:rPr>
        <w:t xml:space="preserve">, in: Philipp Austermann/Stefanie Schmahl (Hrsg.), Abgeordnetenrecht. </w:t>
      </w:r>
      <w:r w:rsidRPr="008E205C">
        <w:rPr>
          <w:color w:val="434343"/>
          <w:lang w:eastAsia="ja-JP"/>
        </w:rPr>
        <w:t>AbgG/EuAbgG/EuAbgStG/LAbgG, 2. Aufl. Baden-Baden 2023 (S. 872 – 946)</w:t>
      </w:r>
    </w:p>
    <w:p w14:paraId="290F39BC" w14:textId="5CD37874" w:rsidR="00876534" w:rsidRDefault="00876534" w:rsidP="00237BDC">
      <w:pPr>
        <w:widowControl w:val="0"/>
        <w:numPr>
          <w:ilvl w:val="0"/>
          <w:numId w:val="3"/>
        </w:numPr>
        <w:tabs>
          <w:tab w:val="left" w:pos="220"/>
          <w:tab w:val="left" w:pos="720"/>
        </w:tabs>
        <w:autoSpaceDE w:val="0"/>
        <w:autoSpaceDN w:val="0"/>
        <w:adjustRightInd w:val="0"/>
        <w:spacing w:after="80"/>
        <w:ind w:hanging="720"/>
        <w:rPr>
          <w:color w:val="434343"/>
          <w:lang w:eastAsia="ja-JP"/>
        </w:rPr>
      </w:pPr>
      <w:r>
        <w:rPr>
          <w:color w:val="434343"/>
          <w:lang w:eastAsia="ja-JP"/>
        </w:rPr>
        <w:t>Kommentierung der Präambel, Art. 1 (Status), Art. 59 – 65 (Gesetzgebung) der Verfassung von Berlin, erscheint 202</w:t>
      </w:r>
      <w:r w:rsidR="00A6286A">
        <w:rPr>
          <w:color w:val="434343"/>
          <w:lang w:eastAsia="ja-JP"/>
        </w:rPr>
        <w:t>5</w:t>
      </w:r>
      <w:r>
        <w:rPr>
          <w:color w:val="434343"/>
          <w:lang w:eastAsia="ja-JP"/>
        </w:rPr>
        <w:t xml:space="preserve"> in dem Online-Kommentar zur Berliner Verfassung, hrsg. von Markus Ogorek und Felor Badenberg</w:t>
      </w:r>
    </w:p>
    <w:p w14:paraId="37C0D0E9" w14:textId="10294D02" w:rsidR="00A95063" w:rsidRPr="008E205C" w:rsidRDefault="00A95063" w:rsidP="00237BDC">
      <w:pPr>
        <w:widowControl w:val="0"/>
        <w:numPr>
          <w:ilvl w:val="0"/>
          <w:numId w:val="3"/>
        </w:numPr>
        <w:tabs>
          <w:tab w:val="left" w:pos="220"/>
          <w:tab w:val="left" w:pos="720"/>
        </w:tabs>
        <w:autoSpaceDE w:val="0"/>
        <w:autoSpaceDN w:val="0"/>
        <w:adjustRightInd w:val="0"/>
        <w:spacing w:after="80"/>
        <w:ind w:hanging="720"/>
        <w:rPr>
          <w:color w:val="434343"/>
          <w:lang w:eastAsia="ja-JP"/>
        </w:rPr>
      </w:pPr>
      <w:r>
        <w:rPr>
          <w:color w:val="434343"/>
          <w:lang w:eastAsia="ja-JP"/>
        </w:rPr>
        <w:t>Vorbemerkungen zu Art. 104a-115, erscheint 2025 im Bonner Kommentar zum Grundgesetz</w:t>
      </w:r>
    </w:p>
    <w:p w14:paraId="1E9366C7" w14:textId="0C5E65FC" w:rsidR="00794F69" w:rsidRPr="008E205C" w:rsidRDefault="00057B1C" w:rsidP="00CE4EBA">
      <w:pPr>
        <w:widowControl w:val="0"/>
        <w:tabs>
          <w:tab w:val="left" w:pos="220"/>
          <w:tab w:val="left" w:pos="720"/>
        </w:tabs>
        <w:autoSpaceDE w:val="0"/>
        <w:autoSpaceDN w:val="0"/>
        <w:adjustRightInd w:val="0"/>
        <w:spacing w:after="80"/>
        <w:ind w:left="940"/>
        <w:rPr>
          <w:color w:val="434343"/>
          <w:lang w:eastAsia="ja-JP"/>
        </w:rPr>
      </w:pPr>
      <w:r w:rsidRPr="008E205C">
        <w:rPr>
          <w:color w:val="434343"/>
          <w:lang w:eastAsia="ja-JP"/>
        </w:rPr>
        <w:t xml:space="preserve"> </w:t>
      </w:r>
    </w:p>
    <w:p w14:paraId="17DAA7A1" w14:textId="77777777" w:rsidR="00794F69" w:rsidRPr="008E205C" w:rsidRDefault="00794F69" w:rsidP="00CE4EBA">
      <w:pPr>
        <w:widowControl w:val="0"/>
        <w:tabs>
          <w:tab w:val="left" w:pos="220"/>
          <w:tab w:val="left" w:pos="720"/>
        </w:tabs>
        <w:autoSpaceDE w:val="0"/>
        <w:autoSpaceDN w:val="0"/>
        <w:adjustRightInd w:val="0"/>
        <w:spacing w:after="80"/>
        <w:ind w:left="720"/>
        <w:rPr>
          <w:color w:val="434343"/>
          <w:lang w:eastAsia="ja-JP"/>
        </w:rPr>
      </w:pPr>
    </w:p>
    <w:p w14:paraId="65E206E9" w14:textId="77777777" w:rsidR="00A43562" w:rsidRPr="000F2895" w:rsidRDefault="00A43562" w:rsidP="00CE4EBA">
      <w:pPr>
        <w:widowControl w:val="0"/>
        <w:autoSpaceDE w:val="0"/>
        <w:autoSpaceDN w:val="0"/>
        <w:adjustRightInd w:val="0"/>
        <w:spacing w:after="80"/>
        <w:rPr>
          <w:b/>
          <w:bCs/>
          <w:color w:val="25374D"/>
          <w:lang w:eastAsia="ja-JP"/>
        </w:rPr>
      </w:pPr>
      <w:r w:rsidRPr="000F2895">
        <w:rPr>
          <w:b/>
          <w:bCs/>
          <w:color w:val="25374D"/>
          <w:lang w:eastAsia="ja-JP"/>
        </w:rPr>
        <w:t>IV. Herausgeberschaften, Beiratsmitgliedschaften</w:t>
      </w:r>
    </w:p>
    <w:p w14:paraId="48994A44" w14:textId="77777777" w:rsidR="000F2895" w:rsidRPr="000F2895" w:rsidRDefault="000F2895" w:rsidP="00CE4EBA">
      <w:pPr>
        <w:widowControl w:val="0"/>
        <w:autoSpaceDE w:val="0"/>
        <w:autoSpaceDN w:val="0"/>
        <w:adjustRightInd w:val="0"/>
        <w:spacing w:after="80"/>
        <w:rPr>
          <w:b/>
          <w:bCs/>
          <w:color w:val="25374D"/>
          <w:lang w:eastAsia="ja-JP"/>
        </w:rPr>
      </w:pPr>
    </w:p>
    <w:p w14:paraId="2B2FFA21" w14:textId="77777777" w:rsidR="00A43562" w:rsidRPr="00AE5B99" w:rsidRDefault="00A43562"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sidRPr="00AE5B99">
        <w:rPr>
          <w:i/>
          <w:iCs/>
          <w:color w:val="434343"/>
          <w:lang w:eastAsia="ja-JP"/>
        </w:rPr>
        <w:t>Mitherausgeberschaft (zusammen mit Josef Aulehner u.a.)</w:t>
      </w:r>
      <w:r w:rsidRPr="00AE5B99">
        <w:rPr>
          <w:color w:val="434343"/>
          <w:lang w:eastAsia="ja-JP"/>
        </w:rPr>
        <w:t>: Föderalismus - Auflösung oder Zukunft der Staatlichkeit? 37. Assistententagung Öffentliches Recht München 1997, Stuttgart 1997</w:t>
      </w:r>
    </w:p>
    <w:p w14:paraId="6A9B8386" w14:textId="77777777" w:rsidR="00A43562" w:rsidRPr="00AE5B99" w:rsidRDefault="00A43562"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sidRPr="00AE5B99">
        <w:rPr>
          <w:i/>
          <w:iCs/>
          <w:color w:val="434343"/>
          <w:lang w:eastAsia="ja-JP"/>
        </w:rPr>
        <w:t>Mitherausgeberschaft (zusammen mit Ekkehart Reimer) im Auftrag der Deutschen Steuerjuristischen Gesellschaft</w:t>
      </w:r>
      <w:r w:rsidRPr="00AE5B99">
        <w:rPr>
          <w:color w:val="434343"/>
          <w:lang w:eastAsia="ja-JP"/>
        </w:rPr>
        <w:t>: Albert Hensel. System des Familiensteuerrechts und andere Schriften, Köln 2000</w:t>
      </w:r>
    </w:p>
    <w:p w14:paraId="6B11AD14" w14:textId="0EDFB66D" w:rsidR="00A43562" w:rsidRPr="00AE5B99" w:rsidRDefault="00A43562"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sidRPr="00AE5B99">
        <w:rPr>
          <w:i/>
          <w:iCs/>
          <w:color w:val="434343"/>
          <w:lang w:eastAsia="ja-JP"/>
        </w:rPr>
        <w:t>Mitherausgeberschaft (zusammen mit Hans-Günter Henneke und Hermann Pünder)</w:t>
      </w:r>
      <w:r w:rsidRPr="00AE5B99">
        <w:rPr>
          <w:color w:val="434343"/>
          <w:lang w:eastAsia="ja-JP"/>
        </w:rPr>
        <w:t xml:space="preserve">: </w:t>
      </w:r>
      <w:r w:rsidRPr="00AE5B99">
        <w:rPr>
          <w:color w:val="434343"/>
          <w:lang w:eastAsia="ja-JP"/>
        </w:rPr>
        <w:lastRenderedPageBreak/>
        <w:t>Recht der Kommunalfinanzen. Abgaben - Haushalt - Finanzausgleich, München 2006</w:t>
      </w:r>
      <w:r w:rsidR="0098428E">
        <w:rPr>
          <w:color w:val="434343"/>
          <w:lang w:eastAsia="ja-JP"/>
        </w:rPr>
        <w:t>; (</w:t>
      </w:r>
      <w:r w:rsidR="0098428E">
        <w:rPr>
          <w:i/>
          <w:iCs/>
          <w:color w:val="434343"/>
          <w:lang w:eastAsia="ja-JP"/>
        </w:rPr>
        <w:t>zusammen mit Hans-Günter Henneke)</w:t>
      </w:r>
      <w:r w:rsidR="0098428E">
        <w:rPr>
          <w:color w:val="434343"/>
          <w:lang w:eastAsia="ja-JP"/>
        </w:rPr>
        <w:t xml:space="preserve"> 2. Aufl. Recht der Kommunalfinanzen. Finanzverfassungsrechtliche Stellung der kommunalen Ebene, kommunale Abgaben und andere Einnahmen, kommunaler Finanzausgleich, 2023</w:t>
      </w:r>
    </w:p>
    <w:p w14:paraId="2029CCB5" w14:textId="293BD566" w:rsidR="00A43562" w:rsidRPr="00AE5B99" w:rsidRDefault="00A43562"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sidRPr="00AE5B99">
        <w:rPr>
          <w:i/>
          <w:iCs/>
          <w:color w:val="434343"/>
          <w:lang w:eastAsia="ja-JP"/>
        </w:rPr>
        <w:t>Mitherausgeberschaft (zusammen mit Ekkehart Reimer</w:t>
      </w:r>
      <w:r w:rsidR="00004E1F">
        <w:rPr>
          <w:i/>
          <w:iCs/>
          <w:color w:val="434343"/>
          <w:lang w:eastAsia="ja-JP"/>
        </w:rPr>
        <w:t xml:space="preserve"> und Lars P. Feld</w:t>
      </w:r>
      <w:r w:rsidRPr="00AE5B99">
        <w:rPr>
          <w:i/>
          <w:iCs/>
          <w:color w:val="434343"/>
          <w:lang w:eastAsia="ja-JP"/>
        </w:rPr>
        <w:t>)</w:t>
      </w:r>
      <w:r w:rsidRPr="00AE5B99">
        <w:rPr>
          <w:color w:val="434343"/>
          <w:lang w:eastAsia="ja-JP"/>
        </w:rPr>
        <w:t>: Steuerwissenschaftliche Schriften, München/B</w:t>
      </w:r>
      <w:r w:rsidR="00AD1A89">
        <w:rPr>
          <w:color w:val="434343"/>
          <w:lang w:eastAsia="ja-JP"/>
        </w:rPr>
        <w:t>aden-Baden 2006 ff. (</w:t>
      </w:r>
      <w:proofErr w:type="gramStart"/>
      <w:r w:rsidR="00AD1A89">
        <w:rPr>
          <w:color w:val="434343"/>
          <w:lang w:eastAsia="ja-JP"/>
        </w:rPr>
        <w:t>zur Zeit</w:t>
      </w:r>
      <w:proofErr w:type="gramEnd"/>
      <w:r w:rsidR="00AD1A89">
        <w:rPr>
          <w:color w:val="434343"/>
          <w:lang w:eastAsia="ja-JP"/>
        </w:rPr>
        <w:t xml:space="preserve"> </w:t>
      </w:r>
      <w:r w:rsidR="00C734C1">
        <w:rPr>
          <w:color w:val="434343"/>
          <w:lang w:eastAsia="ja-JP"/>
        </w:rPr>
        <w:t>93</w:t>
      </w:r>
      <w:r w:rsidRPr="00AE5B99">
        <w:rPr>
          <w:color w:val="434343"/>
          <w:lang w:eastAsia="ja-JP"/>
        </w:rPr>
        <w:t xml:space="preserve"> Bände)</w:t>
      </w:r>
    </w:p>
    <w:p w14:paraId="7E9EF9B7" w14:textId="02D6835F" w:rsidR="00A43562" w:rsidRPr="00AE5B99" w:rsidRDefault="00A43562"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sidRPr="00AE5B99">
        <w:rPr>
          <w:i/>
          <w:iCs/>
          <w:color w:val="434343"/>
          <w:lang w:eastAsia="ja-JP"/>
        </w:rPr>
        <w:t>Mitherausgeberschaft (zusammen mit Rainer Hüttemann und Peter Fischer)</w:t>
      </w:r>
      <w:r w:rsidRPr="00AE5B99">
        <w:rPr>
          <w:color w:val="434343"/>
          <w:lang w:eastAsia="ja-JP"/>
        </w:rPr>
        <w:t>: Bonner Schriften zum Steuer-, Finanz- und Unt</w:t>
      </w:r>
      <w:r w:rsidR="007D642A">
        <w:rPr>
          <w:color w:val="434343"/>
          <w:lang w:eastAsia="ja-JP"/>
        </w:rPr>
        <w:t>ernehmensrecht, Münster 2006 – 2014</w:t>
      </w:r>
    </w:p>
    <w:p w14:paraId="33DEEA00" w14:textId="77777777" w:rsidR="00A43562" w:rsidRPr="00AE5B99" w:rsidRDefault="00A43562"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sidRPr="00AE5B99">
        <w:rPr>
          <w:i/>
          <w:iCs/>
          <w:color w:val="434343"/>
          <w:lang w:eastAsia="ja-JP"/>
        </w:rPr>
        <w:t>Mitherausgeberschaft (zusammen mit Rainer Hüttemann)</w:t>
      </w:r>
      <w:r w:rsidRPr="00AE5B99">
        <w:rPr>
          <w:color w:val="434343"/>
          <w:lang w:eastAsia="ja-JP"/>
        </w:rPr>
        <w:t>: Steuerrecht an der Universität Bonn (=Bonner Schriften zum Steuer-, Finanz- und Unternehmensrecht, Bd. 1), Münster 2008</w:t>
      </w:r>
    </w:p>
    <w:p w14:paraId="09C3DA0B" w14:textId="77777777" w:rsidR="00A43562" w:rsidRPr="00AE5B99" w:rsidRDefault="00A43562"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sidRPr="00AE5B99">
        <w:rPr>
          <w:i/>
          <w:iCs/>
          <w:color w:val="434343"/>
          <w:lang w:eastAsia="ja-JP"/>
        </w:rPr>
        <w:t>Mitherausgeberschaft (zusammen mit Wolfgang Kahl und Christian Walter)</w:t>
      </w:r>
      <w:r w:rsidRPr="00AE5B99">
        <w:rPr>
          <w:color w:val="434343"/>
          <w:lang w:eastAsia="ja-JP"/>
        </w:rPr>
        <w:t>: Bonner Kommentar zum Grundgesetz (für die Abschnitte X. ff. des GG) (seit 2008)</w:t>
      </w:r>
    </w:p>
    <w:p w14:paraId="39909BE2" w14:textId="430E751B" w:rsidR="00A43562" w:rsidRPr="00AE5B99" w:rsidRDefault="00A43562"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sidRPr="00AE5B99">
        <w:rPr>
          <w:i/>
          <w:iCs/>
          <w:color w:val="434343"/>
          <w:lang w:eastAsia="ja-JP"/>
        </w:rPr>
        <w:t>Mitherausgeberschaft (zusammen mit Christian Hillgruber)</w:t>
      </w:r>
      <w:r w:rsidRPr="00AE5B99">
        <w:rPr>
          <w:color w:val="434343"/>
          <w:lang w:eastAsia="ja-JP"/>
        </w:rPr>
        <w:t xml:space="preserve">: 60 Jahre Bonner Grundgesetz </w:t>
      </w:r>
      <w:r w:rsidR="007D642A">
        <w:rPr>
          <w:color w:val="434343"/>
          <w:lang w:eastAsia="ja-JP"/>
        </w:rPr>
        <w:t>–</w:t>
      </w:r>
      <w:r w:rsidRPr="00AE5B99">
        <w:rPr>
          <w:color w:val="434343"/>
          <w:lang w:eastAsia="ja-JP"/>
        </w:rPr>
        <w:t xml:space="preserve"> eine geglückte Verfassung? Göttingen 2010</w:t>
      </w:r>
    </w:p>
    <w:p w14:paraId="7BB8F64E" w14:textId="77777777" w:rsidR="00A43562" w:rsidRPr="00AE5B99" w:rsidRDefault="00A43562"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sidRPr="00AE5B99">
        <w:rPr>
          <w:i/>
          <w:iCs/>
          <w:color w:val="434343"/>
          <w:lang w:eastAsia="ja-JP"/>
        </w:rPr>
        <w:t>Mitherausgeberschaft (zusammen mit Hermann Pünder)</w:t>
      </w:r>
      <w:r w:rsidRPr="00AE5B99">
        <w:rPr>
          <w:color w:val="434343"/>
          <w:lang w:eastAsia="ja-JP"/>
        </w:rPr>
        <w:t>: Debates in German Public Law, Oxford 2014</w:t>
      </w:r>
    </w:p>
    <w:p w14:paraId="55FA195E" w14:textId="7DFEDF1B" w:rsidR="00A43562" w:rsidRPr="00AE5B99" w:rsidRDefault="00A43562"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Gnade vor Recht </w:t>
      </w:r>
      <w:r w:rsidR="007D642A">
        <w:rPr>
          <w:color w:val="434343"/>
          <w:lang w:eastAsia="ja-JP"/>
        </w:rPr>
        <w:t>–</w:t>
      </w:r>
      <w:r w:rsidRPr="00AE5B99">
        <w:rPr>
          <w:color w:val="434343"/>
          <w:lang w:eastAsia="ja-JP"/>
        </w:rPr>
        <w:t xml:space="preserve"> Gnade durch Recht? </w:t>
      </w:r>
      <w:r w:rsidR="005309D9">
        <w:rPr>
          <w:color w:val="434343"/>
          <w:lang w:eastAsia="ja-JP"/>
        </w:rPr>
        <w:t>Berlin 2014</w:t>
      </w:r>
    </w:p>
    <w:p w14:paraId="76AC194B" w14:textId="4C032B4F" w:rsidR="00A43562" w:rsidRDefault="00A43562"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sidRPr="00AE5B99">
        <w:rPr>
          <w:i/>
          <w:iCs/>
          <w:color w:val="434343"/>
          <w:lang w:eastAsia="ja-JP"/>
        </w:rPr>
        <w:t>Mitherausgeberschaft (zusammen mit Leif Böttcher und Kurt Faßbender)</w:t>
      </w:r>
      <w:r w:rsidRPr="00AE5B99">
        <w:rPr>
          <w:color w:val="434343"/>
          <w:lang w:eastAsia="ja-JP"/>
        </w:rPr>
        <w:t>: Erneuerbare Energien in der Notar- und Gestaltungspraxis. Planung, G</w:t>
      </w:r>
      <w:r w:rsidR="005309D9">
        <w:rPr>
          <w:color w:val="434343"/>
          <w:lang w:eastAsia="ja-JP"/>
        </w:rPr>
        <w:t>enehmigung, Kreditsicherung, Be</w:t>
      </w:r>
      <w:r w:rsidRPr="00AE5B99">
        <w:rPr>
          <w:color w:val="434343"/>
          <w:lang w:eastAsia="ja-JP"/>
        </w:rPr>
        <w:t>steuerung, München 2014</w:t>
      </w:r>
    </w:p>
    <w:p w14:paraId="2D3DABC4" w14:textId="5A12A788" w:rsidR="005309D9" w:rsidRDefault="005309D9"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sidRPr="005309D9">
        <w:rPr>
          <w:i/>
          <w:iCs/>
          <w:color w:val="434343"/>
          <w:lang w:eastAsia="ja-JP"/>
        </w:rPr>
        <w:t>Mitherausgeberschaft (zusammen mit Gregor Thüsing)</w:t>
      </w:r>
      <w:r w:rsidRPr="005309D9">
        <w:rPr>
          <w:color w:val="434343"/>
          <w:lang w:eastAsia="ja-JP"/>
        </w:rPr>
        <w:t>: Verfassungsfragen des Arbeitskampfes, Baden-Baden 2014</w:t>
      </w:r>
    </w:p>
    <w:p w14:paraId="2F69A094" w14:textId="76FDB492" w:rsidR="00794F69" w:rsidRPr="005309D9" w:rsidRDefault="00794F69"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Pr>
          <w:i/>
          <w:iCs/>
          <w:color w:val="434343"/>
          <w:lang w:eastAsia="ja-JP"/>
        </w:rPr>
        <w:t>Mitherausgeberschaft (zusammen mit Klaus Ferdinand Gärditz)</w:t>
      </w:r>
      <w:r w:rsidRPr="00794F69">
        <w:rPr>
          <w:color w:val="434343"/>
          <w:lang w:eastAsia="ja-JP"/>
        </w:rPr>
        <w:t>:</w:t>
      </w:r>
      <w:r>
        <w:rPr>
          <w:color w:val="434343"/>
          <w:lang w:eastAsia="ja-JP"/>
        </w:rPr>
        <w:t xml:space="preserve"> Gesetz zur Regelung des Rechts der Untersuchungsausschüsse des Deutschen Bundestages</w:t>
      </w:r>
      <w:r w:rsidR="00057B1C">
        <w:rPr>
          <w:color w:val="434343"/>
          <w:lang w:eastAsia="ja-JP"/>
        </w:rPr>
        <w:t>. Kommentar</w:t>
      </w:r>
      <w:r>
        <w:rPr>
          <w:color w:val="434343"/>
          <w:lang w:eastAsia="ja-JP"/>
        </w:rPr>
        <w:t xml:space="preserve">, </w:t>
      </w:r>
      <w:r w:rsidR="00057B1C">
        <w:rPr>
          <w:color w:val="434343"/>
          <w:lang w:eastAsia="ja-JP"/>
        </w:rPr>
        <w:t>M</w:t>
      </w:r>
      <w:r>
        <w:rPr>
          <w:color w:val="434343"/>
          <w:lang w:eastAsia="ja-JP"/>
        </w:rPr>
        <w:t>ünchen</w:t>
      </w:r>
      <w:r w:rsidR="00057B1C">
        <w:rPr>
          <w:color w:val="434343"/>
          <w:lang w:eastAsia="ja-JP"/>
        </w:rPr>
        <w:t xml:space="preserve"> 2015</w:t>
      </w:r>
    </w:p>
    <w:p w14:paraId="430BEFFD" w14:textId="07B8F758" w:rsidR="005309D9" w:rsidRDefault="005309D9"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Recht und Konfession </w:t>
      </w:r>
      <w:r w:rsidR="007D642A">
        <w:rPr>
          <w:color w:val="434343"/>
          <w:lang w:eastAsia="ja-JP"/>
        </w:rPr>
        <w:t>–</w:t>
      </w:r>
      <w:r w:rsidRPr="00AE5B99">
        <w:rPr>
          <w:color w:val="434343"/>
          <w:lang w:eastAsia="ja-JP"/>
        </w:rPr>
        <w:t xml:space="preserve"> Konfessionalität im </w:t>
      </w:r>
      <w:r w:rsidR="00794F69">
        <w:rPr>
          <w:color w:val="434343"/>
          <w:lang w:eastAsia="ja-JP"/>
        </w:rPr>
        <w:t xml:space="preserve">Recht? </w:t>
      </w:r>
      <w:r w:rsidR="00C15B2D">
        <w:rPr>
          <w:color w:val="434343"/>
          <w:lang w:eastAsia="ja-JP"/>
        </w:rPr>
        <w:t xml:space="preserve">(=Schriftenreihe </w:t>
      </w:r>
      <w:proofErr w:type="gramStart"/>
      <w:r w:rsidR="00C15B2D">
        <w:rPr>
          <w:color w:val="434343"/>
          <w:lang w:eastAsia="ja-JP"/>
        </w:rPr>
        <w:t>des  Käte</w:t>
      </w:r>
      <w:proofErr w:type="gramEnd"/>
      <w:r w:rsidR="00C15B2D">
        <w:rPr>
          <w:color w:val="434343"/>
          <w:lang w:eastAsia="ja-JP"/>
        </w:rPr>
        <w:t xml:space="preserve"> Hamburger Kollegs „Recht als Kultur“, 11), </w:t>
      </w:r>
      <w:r>
        <w:rPr>
          <w:color w:val="434343"/>
          <w:lang w:eastAsia="ja-JP"/>
        </w:rPr>
        <w:t>Frankfurt a.M.</w:t>
      </w:r>
      <w:r w:rsidR="00C15B2D">
        <w:rPr>
          <w:color w:val="434343"/>
          <w:lang w:eastAsia="ja-JP"/>
        </w:rPr>
        <w:t xml:space="preserve"> 2016</w:t>
      </w:r>
    </w:p>
    <w:p w14:paraId="3081823C" w14:textId="655E1E06" w:rsidR="004770F7" w:rsidRDefault="004770F7"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Pr>
          <w:i/>
          <w:color w:val="434343"/>
          <w:lang w:eastAsia="ja-JP"/>
        </w:rPr>
        <w:t>Mitherausgeberschaft (zusammen mit Horst Risse und Utz Schliesky)</w:t>
      </w:r>
      <w:r>
        <w:rPr>
          <w:color w:val="434343"/>
          <w:lang w:eastAsia="ja-JP"/>
        </w:rPr>
        <w:t>: Beiträge zum Parlamentsrecht, seit 2017</w:t>
      </w:r>
      <w:r w:rsidR="00BF412C">
        <w:rPr>
          <w:color w:val="434343"/>
          <w:lang w:eastAsia="ja-JP"/>
        </w:rPr>
        <w:t xml:space="preserve"> (</w:t>
      </w:r>
      <w:proofErr w:type="gramStart"/>
      <w:r w:rsidR="00BF412C">
        <w:rPr>
          <w:color w:val="434343"/>
          <w:lang w:eastAsia="ja-JP"/>
        </w:rPr>
        <w:t>zur Zeit</w:t>
      </w:r>
      <w:proofErr w:type="gramEnd"/>
      <w:r w:rsidR="00BF412C">
        <w:rPr>
          <w:color w:val="434343"/>
          <w:lang w:eastAsia="ja-JP"/>
        </w:rPr>
        <w:t xml:space="preserve"> 8</w:t>
      </w:r>
      <w:r w:rsidR="00510081">
        <w:rPr>
          <w:color w:val="434343"/>
          <w:lang w:eastAsia="ja-JP"/>
        </w:rPr>
        <w:t>7</w:t>
      </w:r>
      <w:r w:rsidR="00BF412C">
        <w:rPr>
          <w:color w:val="434343"/>
          <w:lang w:eastAsia="ja-JP"/>
        </w:rPr>
        <w:t xml:space="preserve"> Bände)</w:t>
      </w:r>
    </w:p>
    <w:p w14:paraId="72E7848E" w14:textId="5187E8E0" w:rsidR="004770F7" w:rsidRDefault="004770F7"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Pr>
          <w:i/>
          <w:color w:val="434343"/>
          <w:lang w:eastAsia="ja-JP"/>
        </w:rPr>
        <w:t>Mitherausgeberschaft</w:t>
      </w:r>
      <w:r>
        <w:rPr>
          <w:color w:val="434343"/>
          <w:lang w:eastAsia="ja-JP"/>
        </w:rPr>
        <w:t>: Landes- und Kommunalverwaltung (LKV), seit 2017</w:t>
      </w:r>
      <w:r w:rsidR="00305F7E">
        <w:rPr>
          <w:color w:val="434343"/>
          <w:lang w:eastAsia="ja-JP"/>
        </w:rPr>
        <w:t xml:space="preserve"> </w:t>
      </w:r>
    </w:p>
    <w:p w14:paraId="2545653A" w14:textId="6D97BB4F" w:rsidR="002025DD" w:rsidRPr="0067258A" w:rsidRDefault="003610AA" w:rsidP="00CE4EBA">
      <w:pPr>
        <w:widowControl w:val="0"/>
        <w:numPr>
          <w:ilvl w:val="0"/>
          <w:numId w:val="4"/>
        </w:numPr>
        <w:tabs>
          <w:tab w:val="left" w:pos="220"/>
          <w:tab w:val="left" w:pos="720"/>
        </w:tabs>
        <w:autoSpaceDE w:val="0"/>
        <w:autoSpaceDN w:val="0"/>
        <w:adjustRightInd w:val="0"/>
        <w:spacing w:after="80"/>
        <w:ind w:hanging="720"/>
        <w:rPr>
          <w:color w:val="434343"/>
          <w:lang w:val="en-US" w:eastAsia="ja-JP"/>
        </w:rPr>
      </w:pPr>
      <w:r>
        <w:rPr>
          <w:i/>
          <w:color w:val="434343"/>
          <w:lang w:eastAsia="ja-JP"/>
        </w:rPr>
        <w:t>Mitherausgeberschaft (zusammen mit Oliver Lepsius und Matthias Roßbach)</w:t>
      </w:r>
      <w:r>
        <w:rPr>
          <w:color w:val="434343"/>
          <w:lang w:eastAsia="ja-JP"/>
        </w:rPr>
        <w:t>: Dieter Grimm, „Ich bin ein Freund der Verfassung“. Wissenschaftsbiographisches Interview von Oliver Lepsius, Christian Waldhoff und Matthias Roßbach mit Diet</w:t>
      </w:r>
      <w:r w:rsidR="00456290">
        <w:rPr>
          <w:color w:val="434343"/>
          <w:lang w:eastAsia="ja-JP"/>
        </w:rPr>
        <w:t xml:space="preserve">er Grimm, </w:t>
      </w:r>
      <w:r>
        <w:rPr>
          <w:color w:val="434343"/>
          <w:lang w:eastAsia="ja-JP"/>
        </w:rPr>
        <w:t>Tübingen</w:t>
      </w:r>
      <w:r w:rsidR="00456290">
        <w:rPr>
          <w:color w:val="434343"/>
          <w:lang w:eastAsia="ja-JP"/>
        </w:rPr>
        <w:t xml:space="preserve"> 2017</w:t>
      </w:r>
      <w:r w:rsidR="0067258A">
        <w:rPr>
          <w:color w:val="434343"/>
          <w:lang w:eastAsia="ja-JP"/>
        </w:rPr>
        <w:t xml:space="preserve"> (in englischer Übersetzung: Dieter Grimm, Advocate of the Constitution. </w:t>
      </w:r>
      <w:r w:rsidR="0067258A" w:rsidRPr="0067258A">
        <w:rPr>
          <w:color w:val="434343"/>
          <w:lang w:val="en-US" w:eastAsia="ja-JP"/>
        </w:rPr>
        <w:t>Dieter Grimm in conversation with Oliver Lepsius, Christian Waldhoff and Matthias Roßbach</w:t>
      </w:r>
      <w:r w:rsidR="0067258A">
        <w:rPr>
          <w:color w:val="434343"/>
          <w:lang w:val="en-US" w:eastAsia="ja-JP"/>
        </w:rPr>
        <w:t>), Oxford 2020)</w:t>
      </w:r>
    </w:p>
    <w:p w14:paraId="3B6757CA" w14:textId="32A2A0FF" w:rsidR="00CE4EBA" w:rsidRPr="002025DD" w:rsidRDefault="00CE4EBA"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Pr>
          <w:i/>
          <w:color w:val="434343"/>
          <w:lang w:eastAsia="ja-JP"/>
        </w:rPr>
        <w:t>Mitherausgeberschaft (zusammen mit Horst Dreier)</w:t>
      </w:r>
      <w:r w:rsidR="00AC36FF">
        <w:rPr>
          <w:color w:val="434343"/>
          <w:lang w:eastAsia="ja-JP"/>
        </w:rPr>
        <w:t>: Das Wagnis der Demokratie. Eine</w:t>
      </w:r>
      <w:r>
        <w:rPr>
          <w:color w:val="434343"/>
          <w:lang w:eastAsia="ja-JP"/>
        </w:rPr>
        <w:t xml:space="preserve"> Anatomie der Weimarer Reichsverfassung, </w:t>
      </w:r>
      <w:r w:rsidR="00756B56">
        <w:rPr>
          <w:color w:val="434343"/>
          <w:lang w:eastAsia="ja-JP"/>
        </w:rPr>
        <w:t xml:space="preserve">1. Aufl. </w:t>
      </w:r>
      <w:r>
        <w:rPr>
          <w:color w:val="434343"/>
          <w:lang w:eastAsia="ja-JP"/>
        </w:rPr>
        <w:t>München</w:t>
      </w:r>
      <w:r w:rsidR="00AD1A89">
        <w:rPr>
          <w:color w:val="434343"/>
          <w:lang w:eastAsia="ja-JP"/>
        </w:rPr>
        <w:t xml:space="preserve"> 2018</w:t>
      </w:r>
      <w:r w:rsidR="00756B56">
        <w:rPr>
          <w:color w:val="434343"/>
          <w:lang w:eastAsia="ja-JP"/>
        </w:rPr>
        <w:t>, 2. Aufl. München 2018</w:t>
      </w:r>
    </w:p>
    <w:p w14:paraId="16E3800D" w14:textId="07EEBF21" w:rsidR="00AD1A89" w:rsidRDefault="00AD1A89"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Pr>
          <w:i/>
          <w:color w:val="434343"/>
          <w:lang w:eastAsia="ja-JP"/>
        </w:rPr>
        <w:t>Mitherausgeberschaft (zusammen mit Hans-Peter Haferkamp und Jan Thiessen)</w:t>
      </w:r>
      <w:r>
        <w:rPr>
          <w:color w:val="434343"/>
          <w:lang w:eastAsia="ja-JP"/>
        </w:rPr>
        <w:t>: Deutsche Diktatorische Rechtsgeschichten? Perspektiven auf die Rechtsgeschichte der DDR. Gedächtnisschrift für Rainer Schröder (1947-2016), Tübingen 2018</w:t>
      </w:r>
    </w:p>
    <w:p w14:paraId="5A30E798" w14:textId="0C2CE4FA" w:rsidR="00305F7E" w:rsidRDefault="00305F7E"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Pr>
          <w:i/>
          <w:color w:val="434343"/>
          <w:lang w:eastAsia="ja-JP"/>
        </w:rPr>
        <w:t>Mitherausgeberschaft (zusammen mit Roland Ismer, Ekkehart Reimer und Alexander Rust)</w:t>
      </w:r>
      <w:r>
        <w:rPr>
          <w:color w:val="434343"/>
          <w:lang w:eastAsia="ja-JP"/>
        </w:rPr>
        <w:t>: Territorialität und Personalität. Festschrift für Moris Lehner zum 70. Geburtstag, Köln 2019</w:t>
      </w:r>
    </w:p>
    <w:p w14:paraId="3158F408" w14:textId="26D8D90C" w:rsidR="00A43A34" w:rsidRDefault="00A43A34"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Pr>
          <w:i/>
          <w:color w:val="434343"/>
          <w:lang w:eastAsia="ja-JP"/>
        </w:rPr>
        <w:lastRenderedPageBreak/>
        <w:t>Mitherausgeberschaft (zusammen mit Horst Dreier)</w:t>
      </w:r>
      <w:r w:rsidRPr="00A43A34">
        <w:rPr>
          <w:color w:val="434343"/>
          <w:lang w:eastAsia="ja-JP"/>
        </w:rPr>
        <w:t>:</w:t>
      </w:r>
      <w:r>
        <w:rPr>
          <w:color w:val="434343"/>
          <w:lang w:eastAsia="ja-JP"/>
        </w:rPr>
        <w:t xml:space="preserve"> Weimars Verfassung. Eine Bilanz</w:t>
      </w:r>
      <w:r w:rsidR="00806F80">
        <w:rPr>
          <w:color w:val="434343"/>
          <w:lang w:eastAsia="ja-JP"/>
        </w:rPr>
        <w:t xml:space="preserve"> nach 100 Jahren</w:t>
      </w:r>
      <w:r>
        <w:rPr>
          <w:color w:val="434343"/>
          <w:lang w:eastAsia="ja-JP"/>
        </w:rPr>
        <w:t>, Göttingen</w:t>
      </w:r>
      <w:r w:rsidR="00837C7F">
        <w:rPr>
          <w:color w:val="434343"/>
          <w:lang w:eastAsia="ja-JP"/>
        </w:rPr>
        <w:t xml:space="preserve"> 2020</w:t>
      </w:r>
    </w:p>
    <w:p w14:paraId="680B7A39" w14:textId="4E6D5382" w:rsidR="008605B2" w:rsidRDefault="008605B2"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Pr>
          <w:i/>
          <w:color w:val="434343"/>
          <w:lang w:eastAsia="ja-JP"/>
        </w:rPr>
        <w:t>Mitherausgeberschaft (zusammen mit Birgit Aschmann)</w:t>
      </w:r>
      <w:r>
        <w:rPr>
          <w:color w:val="434343"/>
          <w:lang w:eastAsia="ja-JP"/>
        </w:rPr>
        <w:t xml:space="preserve">: Die Spanische Verfassung von 1978. Entstehung – Praxis – </w:t>
      </w:r>
      <w:proofErr w:type="gramStart"/>
      <w:r>
        <w:rPr>
          <w:color w:val="434343"/>
          <w:lang w:eastAsia="ja-JP"/>
        </w:rPr>
        <w:t>Krise?</w:t>
      </w:r>
      <w:r w:rsidR="00477898">
        <w:rPr>
          <w:color w:val="434343"/>
          <w:lang w:eastAsia="ja-JP"/>
        </w:rPr>
        <w:t>,</w:t>
      </w:r>
      <w:proofErr w:type="gramEnd"/>
      <w:r>
        <w:rPr>
          <w:color w:val="434343"/>
          <w:lang w:eastAsia="ja-JP"/>
        </w:rPr>
        <w:t xml:space="preserve"> Münster</w:t>
      </w:r>
      <w:r w:rsidR="00477898">
        <w:rPr>
          <w:color w:val="434343"/>
          <w:lang w:eastAsia="ja-JP"/>
        </w:rPr>
        <w:t xml:space="preserve"> 2020</w:t>
      </w:r>
    </w:p>
    <w:p w14:paraId="28678489" w14:textId="3C49003B" w:rsidR="00450FE5" w:rsidRDefault="00FE0F52"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Pr>
          <w:i/>
          <w:color w:val="434343"/>
          <w:lang w:eastAsia="ja-JP"/>
        </w:rPr>
        <w:t>Mitglied der Fachredaktion Rechtswissenschaft (zusammen mit Tilman Repgen, Rudolf Streinz und Arnd Uhle)</w:t>
      </w:r>
      <w:r>
        <w:rPr>
          <w:color w:val="434343"/>
          <w:lang w:eastAsia="ja-JP"/>
        </w:rPr>
        <w:t xml:space="preserve"> Staatslexikon Recht – Wirtschaft – Gesellschaft</w:t>
      </w:r>
      <w:r w:rsidR="00626EC6">
        <w:rPr>
          <w:color w:val="434343"/>
          <w:lang w:eastAsia="ja-JP"/>
        </w:rPr>
        <w:t xml:space="preserve">, 6 Bde. </w:t>
      </w:r>
      <w:r w:rsidR="00DC7669">
        <w:rPr>
          <w:color w:val="434343"/>
          <w:lang w:eastAsia="ja-JP"/>
        </w:rPr>
        <w:t xml:space="preserve">8. Aufl. Freiburg i.Br. </w:t>
      </w:r>
      <w:r w:rsidR="00626EC6">
        <w:rPr>
          <w:color w:val="434343"/>
          <w:lang w:eastAsia="ja-JP"/>
        </w:rPr>
        <w:t xml:space="preserve">2017 </w:t>
      </w:r>
      <w:r w:rsidR="00BF412C">
        <w:rPr>
          <w:color w:val="434343"/>
          <w:lang w:eastAsia="ja-JP"/>
        </w:rPr>
        <w:t>– 2022</w:t>
      </w:r>
    </w:p>
    <w:p w14:paraId="23157A6E" w14:textId="77777777" w:rsidR="006861B0" w:rsidRDefault="00450FE5"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Pr>
          <w:i/>
          <w:color w:val="434343"/>
          <w:lang w:eastAsia="ja-JP"/>
        </w:rPr>
        <w:t>Mitherausgeberschaft (zusammen mit Martin Burgi)</w:t>
      </w:r>
      <w:r>
        <w:rPr>
          <w:color w:val="434343"/>
          <w:lang w:eastAsia="ja-JP"/>
        </w:rPr>
        <w:t>: Kommunale Selbstverwaltung im Bundes- und Finanzstaat. Festschrift für Hans-Günter Henneke zum 65. Geburtstag, Hürth 2022</w:t>
      </w:r>
    </w:p>
    <w:p w14:paraId="4CF4713A" w14:textId="43A1E65B" w:rsidR="00AC5143" w:rsidRPr="00AC5143" w:rsidRDefault="006861B0"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Pr>
          <w:i/>
          <w:color w:val="434343"/>
          <w:lang w:eastAsia="ja-JP"/>
        </w:rPr>
        <w:t>Mitherausgeberschaft (zusammen mit Martin Burgi)</w:t>
      </w:r>
      <w:r>
        <w:rPr>
          <w:iCs/>
          <w:color w:val="434343"/>
          <w:lang w:eastAsia="ja-JP"/>
        </w:rPr>
        <w:t>: Schriften zum deutschen und europäischen Kommunalrecht, seit 2023</w:t>
      </w:r>
      <w:r w:rsidR="00876534">
        <w:rPr>
          <w:iCs/>
          <w:color w:val="434343"/>
          <w:lang w:eastAsia="ja-JP"/>
        </w:rPr>
        <w:t xml:space="preserve"> (</w:t>
      </w:r>
      <w:proofErr w:type="gramStart"/>
      <w:r w:rsidR="00876534">
        <w:rPr>
          <w:iCs/>
          <w:color w:val="434343"/>
          <w:lang w:eastAsia="ja-JP"/>
        </w:rPr>
        <w:t>zur Zeit</w:t>
      </w:r>
      <w:proofErr w:type="gramEnd"/>
      <w:r w:rsidR="00876534">
        <w:rPr>
          <w:iCs/>
          <w:color w:val="434343"/>
          <w:lang w:eastAsia="ja-JP"/>
        </w:rPr>
        <w:t xml:space="preserve"> 61 Bände)</w:t>
      </w:r>
    </w:p>
    <w:p w14:paraId="426DF937" w14:textId="17B4010D" w:rsidR="00FE0F52" w:rsidRDefault="00AC5143"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Pr>
          <w:i/>
          <w:color w:val="434343"/>
          <w:lang w:eastAsia="ja-JP"/>
        </w:rPr>
        <w:t>Mitherausgeberschaft (zusammen mit Markus Heintzen, Andreas Richter und Thomas Stapperfend)</w:t>
      </w:r>
      <w:r>
        <w:rPr>
          <w:iCs/>
          <w:color w:val="434343"/>
          <w:lang w:eastAsia="ja-JP"/>
        </w:rPr>
        <w:t xml:space="preserve">: Steuerkritik. Gedächtnisschrift für Andreas Musil, </w:t>
      </w:r>
      <w:r w:rsidR="00C227CB">
        <w:rPr>
          <w:iCs/>
          <w:color w:val="434343"/>
          <w:lang w:eastAsia="ja-JP"/>
        </w:rPr>
        <w:t>Köln</w:t>
      </w:r>
      <w:r>
        <w:rPr>
          <w:iCs/>
          <w:color w:val="434343"/>
          <w:lang w:eastAsia="ja-JP"/>
        </w:rPr>
        <w:t xml:space="preserve"> 2024</w:t>
      </w:r>
      <w:r w:rsidR="00BF412C">
        <w:rPr>
          <w:color w:val="434343"/>
          <w:lang w:eastAsia="ja-JP"/>
        </w:rPr>
        <w:t xml:space="preserve"> </w:t>
      </w:r>
      <w:r w:rsidR="00FE0F52">
        <w:rPr>
          <w:color w:val="434343"/>
          <w:lang w:eastAsia="ja-JP"/>
        </w:rPr>
        <w:t xml:space="preserve"> </w:t>
      </w:r>
    </w:p>
    <w:p w14:paraId="4353438A" w14:textId="77777777" w:rsidR="00A43562" w:rsidRDefault="00A43562"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Mitglied des Beirats der Zeitschrift für Gesetzgebung (seit 2008)</w:t>
      </w:r>
    </w:p>
    <w:p w14:paraId="020EA97D" w14:textId="50C04657" w:rsidR="00B87D3C" w:rsidRPr="00AE5B99" w:rsidRDefault="00B87D3C"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Pr>
          <w:color w:val="434343"/>
          <w:lang w:eastAsia="ja-JP"/>
        </w:rPr>
        <w:t>Mitglied des Beirats der Zeitschrift für Politik (seit 2019)</w:t>
      </w:r>
    </w:p>
    <w:p w14:paraId="6C52D12F" w14:textId="2E80089E" w:rsidR="00A43562" w:rsidRDefault="00A43562" w:rsidP="00CE4EBA">
      <w:pPr>
        <w:widowControl w:val="0"/>
        <w:numPr>
          <w:ilvl w:val="0"/>
          <w:numId w:val="4"/>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Mitglied des Beirats des Bonner Rechtsjournals (2008 - 2013)</w:t>
      </w:r>
    </w:p>
    <w:p w14:paraId="00D75385" w14:textId="71614C78" w:rsidR="008570FF" w:rsidRPr="00AE22D5" w:rsidRDefault="008570FF" w:rsidP="00CE4EBA">
      <w:pPr>
        <w:widowControl w:val="0"/>
        <w:numPr>
          <w:ilvl w:val="0"/>
          <w:numId w:val="4"/>
        </w:numPr>
        <w:tabs>
          <w:tab w:val="left" w:pos="220"/>
          <w:tab w:val="left" w:pos="720"/>
        </w:tabs>
        <w:autoSpaceDE w:val="0"/>
        <w:autoSpaceDN w:val="0"/>
        <w:adjustRightInd w:val="0"/>
        <w:spacing w:after="80"/>
        <w:ind w:hanging="720"/>
        <w:rPr>
          <w:color w:val="434343"/>
          <w:lang w:val="en-US" w:eastAsia="ja-JP"/>
        </w:rPr>
      </w:pPr>
      <w:r w:rsidRPr="00AE22D5">
        <w:rPr>
          <w:color w:val="434343"/>
          <w:lang w:val="en-US" w:eastAsia="ja-JP"/>
        </w:rPr>
        <w:t>Mitglied des Boards International Journal</w:t>
      </w:r>
      <w:r w:rsidR="00AE22D5" w:rsidRPr="00AE22D5">
        <w:rPr>
          <w:color w:val="434343"/>
          <w:lang w:val="en-US" w:eastAsia="ja-JP"/>
        </w:rPr>
        <w:t xml:space="preserve"> </w:t>
      </w:r>
      <w:r w:rsidRPr="00AE22D5">
        <w:rPr>
          <w:color w:val="434343"/>
          <w:lang w:val="en-US" w:eastAsia="ja-JP"/>
        </w:rPr>
        <w:t>of Parliamentary Studies</w:t>
      </w:r>
      <w:r w:rsidR="00AE22D5" w:rsidRPr="00AE22D5">
        <w:rPr>
          <w:color w:val="434343"/>
          <w:lang w:val="en-US" w:eastAsia="ja-JP"/>
        </w:rPr>
        <w:t xml:space="preserve"> (seit 2020)</w:t>
      </w:r>
    </w:p>
    <w:p w14:paraId="38D74C1A" w14:textId="77777777" w:rsidR="00794F69" w:rsidRPr="00AE22D5" w:rsidRDefault="00794F69" w:rsidP="00CE4EBA">
      <w:pPr>
        <w:widowControl w:val="0"/>
        <w:tabs>
          <w:tab w:val="left" w:pos="220"/>
          <w:tab w:val="left" w:pos="720"/>
        </w:tabs>
        <w:autoSpaceDE w:val="0"/>
        <w:autoSpaceDN w:val="0"/>
        <w:adjustRightInd w:val="0"/>
        <w:spacing w:after="80"/>
        <w:ind w:left="720"/>
        <w:rPr>
          <w:color w:val="434343"/>
          <w:lang w:val="en-US" w:eastAsia="ja-JP"/>
        </w:rPr>
      </w:pPr>
    </w:p>
    <w:p w14:paraId="6B8271D2" w14:textId="77777777" w:rsidR="00CA0516" w:rsidRPr="00AE22D5" w:rsidRDefault="00CA0516" w:rsidP="00CE4EBA">
      <w:pPr>
        <w:widowControl w:val="0"/>
        <w:tabs>
          <w:tab w:val="left" w:pos="220"/>
          <w:tab w:val="left" w:pos="720"/>
        </w:tabs>
        <w:autoSpaceDE w:val="0"/>
        <w:autoSpaceDN w:val="0"/>
        <w:adjustRightInd w:val="0"/>
        <w:spacing w:after="80"/>
        <w:ind w:left="720"/>
        <w:rPr>
          <w:color w:val="434343"/>
          <w:lang w:val="en-US" w:eastAsia="ja-JP"/>
        </w:rPr>
      </w:pPr>
    </w:p>
    <w:p w14:paraId="402FDFED" w14:textId="77777777" w:rsidR="00A43562" w:rsidRPr="000F2895" w:rsidRDefault="00A43562" w:rsidP="00CE4EBA">
      <w:pPr>
        <w:widowControl w:val="0"/>
        <w:autoSpaceDE w:val="0"/>
        <w:autoSpaceDN w:val="0"/>
        <w:adjustRightInd w:val="0"/>
        <w:spacing w:after="80"/>
        <w:rPr>
          <w:b/>
          <w:bCs/>
          <w:color w:val="25374D"/>
          <w:lang w:eastAsia="ja-JP"/>
        </w:rPr>
      </w:pPr>
      <w:r w:rsidRPr="000F2895">
        <w:rPr>
          <w:b/>
          <w:bCs/>
          <w:color w:val="25374D"/>
          <w:lang w:eastAsia="ja-JP"/>
        </w:rPr>
        <w:t>V. Aufsätze, Beiträge in Sammelwerken, Urteilsanmerkungen</w:t>
      </w:r>
    </w:p>
    <w:p w14:paraId="3BC3014D" w14:textId="77777777" w:rsidR="000F2895" w:rsidRPr="000F2895" w:rsidRDefault="000F2895" w:rsidP="00CE4EBA">
      <w:pPr>
        <w:widowControl w:val="0"/>
        <w:autoSpaceDE w:val="0"/>
        <w:autoSpaceDN w:val="0"/>
        <w:adjustRightInd w:val="0"/>
        <w:spacing w:after="80"/>
        <w:rPr>
          <w:b/>
          <w:bCs/>
          <w:color w:val="25374D"/>
          <w:lang w:eastAsia="ja-JP"/>
        </w:rPr>
      </w:pPr>
    </w:p>
    <w:p w14:paraId="07AE57A6" w14:textId="77777777" w:rsidR="00A43562" w:rsidRPr="003873AE"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val="es-ES" w:eastAsia="ja-JP"/>
        </w:rPr>
      </w:pPr>
      <w:r w:rsidRPr="003873AE">
        <w:rPr>
          <w:color w:val="434343"/>
          <w:lang w:val="es-ES" w:eastAsia="ja-JP"/>
        </w:rPr>
        <w:t xml:space="preserve">La Constitución financiera en la Ley Fundamental de la República Federal de Alemania y la actual discusión sobre su reforma, in: Zergak 1998, S. 163 - 181 </w:t>
      </w:r>
      <w:proofErr w:type="gramStart"/>
      <w:r w:rsidRPr="003873AE">
        <w:rPr>
          <w:color w:val="434343"/>
          <w:lang w:val="es-ES" w:eastAsia="ja-JP"/>
        </w:rPr>
        <w:t>( =</w:t>
      </w:r>
      <w:proofErr w:type="gramEnd"/>
      <w:r w:rsidRPr="003873AE">
        <w:rPr>
          <w:color w:val="434343"/>
          <w:lang w:val="es-ES" w:eastAsia="ja-JP"/>
        </w:rPr>
        <w:t xml:space="preserve"> spanisch-baskische Zeitschrift „Steuern")</w:t>
      </w:r>
    </w:p>
    <w:p w14:paraId="466538E5"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Finanzwirtschaftliche Entscheidungen in der Demokratie, in: Martin Bertschi u.a. (Hrsg.), Freiheit und Demokratie, 39. Assistententagung Öffentliches Recht 1999 in Zürich, Stuttgart 1999, S. 181 - 227</w:t>
      </w:r>
    </w:p>
    <w:p w14:paraId="34448EDF" w14:textId="77777777" w:rsidR="00A43562" w:rsidRPr="003873AE"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val="en-US" w:eastAsia="ja-JP"/>
        </w:rPr>
      </w:pPr>
      <w:r w:rsidRPr="003873AE">
        <w:rPr>
          <w:color w:val="434343"/>
          <w:lang w:val="en-US" w:eastAsia="ja-JP"/>
        </w:rPr>
        <w:t>(</w:t>
      </w:r>
      <w:r w:rsidRPr="003873AE">
        <w:rPr>
          <w:i/>
          <w:iCs/>
          <w:color w:val="434343"/>
          <w:lang w:val="en-US" w:eastAsia="ja-JP"/>
        </w:rPr>
        <w:t>zusammen mit Klaus Vogel</w:t>
      </w:r>
      <w:r w:rsidRPr="003873AE">
        <w:rPr>
          <w:color w:val="434343"/>
          <w:lang w:val="en-US" w:eastAsia="ja-JP"/>
        </w:rPr>
        <w:t>) Germany, in: Gerhard Meussen (ed.), The Principle of Equality in European Taxation (=Eucotax. Series on European Taxation, vol. 2) The Hague/London/Boston 1999, S. 89 - 114</w:t>
      </w:r>
    </w:p>
    <w:p w14:paraId="4529C725" w14:textId="2F52A96F"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Verfassungsrechtliche Funktion und Schutz des Geldes unter dem Grundgesetz, in: Gerhard Lingelbach (Hrsg.), Staatsfinanzen </w:t>
      </w:r>
      <w:r w:rsidR="0035112A">
        <w:rPr>
          <w:color w:val="434343"/>
          <w:lang w:eastAsia="ja-JP"/>
        </w:rPr>
        <w:t>–</w:t>
      </w:r>
      <w:r w:rsidRPr="00AE5B99">
        <w:rPr>
          <w:color w:val="434343"/>
          <w:lang w:eastAsia="ja-JP"/>
        </w:rPr>
        <w:t xml:space="preserve"> Staatsverschuldung </w:t>
      </w:r>
      <w:r w:rsidR="0035112A">
        <w:rPr>
          <w:color w:val="434343"/>
          <w:lang w:eastAsia="ja-JP"/>
        </w:rPr>
        <w:t>–</w:t>
      </w:r>
      <w:r w:rsidRPr="00AE5B99">
        <w:rPr>
          <w:color w:val="434343"/>
          <w:lang w:eastAsia="ja-JP"/>
        </w:rPr>
        <w:t xml:space="preserve"> Staatsbankrotte in der europäischen Staaten- u</w:t>
      </w:r>
      <w:r w:rsidR="0035112A">
        <w:rPr>
          <w:color w:val="434343"/>
          <w:lang w:eastAsia="ja-JP"/>
        </w:rPr>
        <w:t>nd Rechtsgeschichte, Weimar</w:t>
      </w:r>
      <w:r w:rsidRPr="00AE5B99">
        <w:rPr>
          <w:color w:val="434343"/>
          <w:lang w:eastAsia="ja-JP"/>
        </w:rPr>
        <w:t xml:space="preserve"> 2000, S. 335 - 355</w:t>
      </w:r>
    </w:p>
    <w:p w14:paraId="6EC9B0E1" w14:textId="1FF8F6A8"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Uwe Fitzner</w:t>
      </w:r>
      <w:r w:rsidRPr="00AE5B99">
        <w:rPr>
          <w:color w:val="434343"/>
          <w:lang w:eastAsia="ja-JP"/>
        </w:rPr>
        <w:t>) Das patentrechtliche Einspruchs- und Einspruchsbeschwerdeverfahren - eine Analyse aus öffentlichrechtlicher Sicht, Mitteilungen der deutschen Patentanwälte 91 (2000), S. 446 - 454</w:t>
      </w:r>
    </w:p>
    <w:p w14:paraId="4A938ACB"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Ekkehart Reimer</w:t>
      </w:r>
      <w:r w:rsidRPr="00AE5B99">
        <w:rPr>
          <w:color w:val="434343"/>
          <w:lang w:eastAsia="ja-JP"/>
        </w:rPr>
        <w:t>) Steuerrechtliche Systembildung und Steuerverfassungsecht in der Inkubationszeit des modernen Steuerrechts in Deutschland - Zu Leben und Werk Albert Hensels (1895-1933), in: dies. (Hrsg.), Albert Hensel: System des Familiensteuerrechts und andere Schriften, Köln 2000, S. 1 - 124 (vgl. auch II. 2)</w:t>
      </w:r>
    </w:p>
    <w:p w14:paraId="19406CAF"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Reformperspektiven der bundesstaatlichen Finanzverfassung im gestuften Verfahren, Zeitschrift für Gesetzgebung 2000, S. 193 - 221</w:t>
      </w:r>
    </w:p>
    <w:p w14:paraId="57962E5E"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Satzungsautonomie und Abgabenerhebung. Zu den Anforderungen des </w:t>
      </w:r>
      <w:r w:rsidRPr="00AE5B99">
        <w:rPr>
          <w:color w:val="434343"/>
          <w:lang w:eastAsia="ja-JP"/>
        </w:rPr>
        <w:lastRenderedPageBreak/>
        <w:t>Gesetzesvorbehalts an Eingriffe durch kommunale Steuersatzungen, in: Paul Kirchhof/Moris Lehner/Arndt Raupach/Michael Rodi (Hrsg.), Staaten und Steuern. Festschrift für Klaus Vogel zum 70. Geburtstag, Heidelberg 2000, S. 495 - 516</w:t>
      </w:r>
    </w:p>
    <w:p w14:paraId="377DC037"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Probleme des europäischen Finanzausgleichs im Lichte der Erweiterung der Europäischen Union, Zeitschrift für europäische Studien 2000, S. 201 - 242</w:t>
      </w:r>
    </w:p>
    <w:p w14:paraId="6E43BF51" w14:textId="77777777" w:rsidR="00A43562" w:rsidRPr="003873AE"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val="en-US" w:eastAsia="ja-JP"/>
        </w:rPr>
      </w:pPr>
      <w:r w:rsidRPr="003873AE">
        <w:rPr>
          <w:color w:val="434343"/>
          <w:lang w:val="en-US" w:eastAsia="ja-JP"/>
        </w:rPr>
        <w:t>(</w:t>
      </w:r>
      <w:r w:rsidRPr="003873AE">
        <w:rPr>
          <w:i/>
          <w:iCs/>
          <w:color w:val="434343"/>
          <w:lang w:val="en-US" w:eastAsia="ja-JP"/>
        </w:rPr>
        <w:t>zusammen u.a. mit Moris Lehner)</w:t>
      </w:r>
      <w:r w:rsidRPr="003873AE">
        <w:rPr>
          <w:color w:val="434343"/>
          <w:lang w:val="en-US" w:eastAsia="ja-JP"/>
        </w:rPr>
        <w:t xml:space="preserve"> The European Experience </w:t>
      </w:r>
      <w:proofErr w:type="gramStart"/>
      <w:r w:rsidRPr="003873AE">
        <w:rPr>
          <w:color w:val="434343"/>
          <w:lang w:val="en-US" w:eastAsia="ja-JP"/>
        </w:rPr>
        <w:t>With</w:t>
      </w:r>
      <w:proofErr w:type="gramEnd"/>
      <w:r w:rsidRPr="003873AE">
        <w:rPr>
          <w:color w:val="434343"/>
          <w:lang w:val="en-US" w:eastAsia="ja-JP"/>
        </w:rPr>
        <w:t xml:space="preserve"> a Wealth Tax: A Comparative Discussion, in: Tax Law Review (New York University) 53 (2000), S. 615 - 691</w:t>
      </w:r>
    </w:p>
    <w:p w14:paraId="380F6F40" w14:textId="77777777" w:rsidR="00A43562" w:rsidRPr="003873AE"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val="es-ES" w:eastAsia="ja-JP"/>
        </w:rPr>
      </w:pPr>
      <w:r w:rsidRPr="003873AE">
        <w:rPr>
          <w:color w:val="434343"/>
          <w:lang w:val="es-ES" w:eastAsia="ja-JP"/>
        </w:rPr>
        <w:t xml:space="preserve">La Sentencia del Tribunal Constitucional Federal Alemán de 11 de Novembre de 1999 y las Perspectivas de Reforma que de la misma se derivan para la Constitución Financiera de los Estados Federados Alemanes, in: Zergak 2000, S. 193 - 210 (=spanisch-baskische Zeitschrift </w:t>
      </w:r>
      <w:proofErr w:type="gramStart"/>
      <w:r w:rsidRPr="003873AE">
        <w:rPr>
          <w:color w:val="434343"/>
          <w:lang w:val="es-ES" w:eastAsia="ja-JP"/>
        </w:rPr>
        <w:t>« Steuern</w:t>
      </w:r>
      <w:proofErr w:type="gramEnd"/>
      <w:r w:rsidRPr="003873AE">
        <w:rPr>
          <w:color w:val="434343"/>
          <w:lang w:val="es-ES" w:eastAsia="ja-JP"/>
        </w:rPr>
        <w:t> »)</w:t>
      </w:r>
    </w:p>
    <w:p w14:paraId="432BC896"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3873AE">
        <w:rPr>
          <w:b/>
          <w:bCs/>
          <w:color w:val="434343"/>
          <w:lang w:val="es-ES" w:eastAsia="ja-JP"/>
        </w:rPr>
        <w:t> </w:t>
      </w:r>
      <w:r w:rsidRPr="00AE5B99">
        <w:rPr>
          <w:color w:val="434343"/>
          <w:lang w:eastAsia="ja-JP"/>
        </w:rPr>
        <w:t>Der deutsche Bundesstaat im internationalen Vergleich: Die föderalistische Ordnung der Schweiz, in: Matthias Hartwig/Werner Heun/Ferdinand Kirchhof/Christian Waldhoff, Föderalismus in der Diskussion (=Zukunftsforum Politik, hrsg. von der Konrad-Adenauer-Stiftung, 36), St. Augustin 2001, S. 35 - 68</w:t>
      </w:r>
    </w:p>
    <w:p w14:paraId="01BAF046"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Ekkehart Reimer)</w:t>
      </w:r>
      <w:r w:rsidRPr="00AE5B99">
        <w:rPr>
          <w:color w:val="434343"/>
          <w:lang w:eastAsia="ja-JP"/>
        </w:rPr>
        <w:t xml:space="preserve"> Mitgliedervergünstigungen bei gemeinnützigen Kapitalgesellschaften, FR 2002, S. 318 - 326</w:t>
      </w:r>
    </w:p>
    <w:p w14:paraId="7BA04F5E"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i/>
          <w:iCs/>
          <w:color w:val="434343"/>
          <w:lang w:eastAsia="ja-JP"/>
        </w:rPr>
        <w:t>(zusammen mit Ekkehart Reimer</w:t>
      </w:r>
      <w:r w:rsidRPr="00AE5B99">
        <w:rPr>
          <w:color w:val="434343"/>
          <w:lang w:eastAsia="ja-JP"/>
        </w:rPr>
        <w:t>) Steuerjurist und Staatsrechtslehrer, Musiker und Kommunalpolitiker. Leben und Werk Albert Hensels (1895-1933), in: Erdmute Johanna Pickerodt-Uthleb (Hrsg.), Zukunft braucht Erfahrung. 475 Jahre Gymnasium Philippinum. Eine Festschrift, Marburg 2002, S. 131 - 157</w:t>
      </w:r>
    </w:p>
    <w:p w14:paraId="5011D438"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Vereinfachte Änderung von Doppelbesteuerungsabkommen und die Mitwirkungsrechte des Parlaments, IStR 2002, S. 693 - 697</w:t>
      </w:r>
    </w:p>
    <w:p w14:paraId="570737B1"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Die Zwecksteuer. Verfassungsrechtliche Grenzen der rechtlichen Bindung des Aufkommens von Abgaben, StuW 2002, S. 285 - 313</w:t>
      </w:r>
    </w:p>
    <w:p w14:paraId="4AF068DA"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Kirchliche Selbstbestimmung und Europarecht, JZ 2003, S. 978 - 986</w:t>
      </w:r>
    </w:p>
    <w:p w14:paraId="03F34E16"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Brauchen wir ein Steuergeheimnis für gemeinnützige Organisationen? in: W. Rainer Walz (Hrsg.), Rechnungslegung und Transparenz im Dritten Sektor (=Bucerius Law School. Schriftenreihe des Instituts für Stiftungsrecht und das Recht der Non-Profit-Organisationen, 3), Köln 2004, S. 157 - 176</w:t>
      </w:r>
    </w:p>
    <w:p w14:paraId="28076222"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Vertrauensschutz im Steuerrechtsverhältnis, in: Heinz-Jürgen Pezzer (Hrsg.), Vertrauensschutz im Steuerrecht (=Veröffentlichungen der Deutschen Steuerjuristischen Gesellschaft, 27), Köln 2004, S. 129 - 160</w:t>
      </w:r>
    </w:p>
    <w:p w14:paraId="16B4279E" w14:textId="7CC61E8C"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Verfassungsrechtlicher Sparzwang im Landeshaushalt unter den Bedingungen e</w:t>
      </w:r>
      <w:r w:rsidR="003A1A5E">
        <w:rPr>
          <w:color w:val="434343"/>
          <w:lang w:eastAsia="ja-JP"/>
        </w:rPr>
        <w:t>iner „extremen Haushaltsnotlage“</w:t>
      </w:r>
      <w:r w:rsidRPr="00AE5B99">
        <w:rPr>
          <w:color w:val="434343"/>
          <w:lang w:eastAsia="ja-JP"/>
        </w:rPr>
        <w:t>, NVwZ 2004, S. 1062 - 1067</w:t>
      </w:r>
    </w:p>
    <w:p w14:paraId="18609937" w14:textId="4BA136CB"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Kirche und Streikrecht </w:t>
      </w:r>
      <w:r w:rsidR="003A1A5E">
        <w:rPr>
          <w:color w:val="434343"/>
          <w:lang w:eastAsia="ja-JP"/>
        </w:rPr>
        <w:t>–</w:t>
      </w:r>
      <w:r w:rsidRPr="00AE5B99">
        <w:rPr>
          <w:color w:val="434343"/>
          <w:lang w:eastAsia="ja-JP"/>
        </w:rPr>
        <w:t xml:space="preserve"> Streikrecht in der Kirche? in: Raimund Waltermann u.a. (Hrsg.), Gedächtnisschrift für Meinhard Heinze, München 2004, S.  995 - 1008</w:t>
      </w:r>
    </w:p>
    <w:p w14:paraId="4CE28B07"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100 Jahre Kirchenrechtliches Institut an der Rechts- und Staatswissenschaftlichen Fakultät der Universität Bonn, Bonner Universitätsblätter 2004, S. 39 - 45</w:t>
      </w:r>
    </w:p>
    <w:p w14:paraId="29FC604A"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Zur Grundrechtsbindung bei der Erhebung von Kirchensteuern im Bundesstaat, StuW 2005, S. 37 - 46</w:t>
      </w:r>
    </w:p>
    <w:p w14:paraId="5206BB11"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Studiengebühren im Bundesstaat, JuS 2005, S. 391 - 396</w:t>
      </w:r>
    </w:p>
    <w:p w14:paraId="67436041"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Inhalt und Grenzen der Religionsfreiheit in Deutschland, in: Otto Depenheuer/IlyasDogan/Osman Can (Hrsg.), Zwischen Säkularität und Laizismus (=Deutsch-Türkisches Forum für Staatsrechtslehre, 2), Münster 2005, S. 81 - 94</w:t>
      </w:r>
    </w:p>
    <w:p w14:paraId="1ED078BA"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lastRenderedPageBreak/>
        <w:t>Finanzierung der Standortsuche für ein atomares Endlager durch eine öffentlich-rechtliche Körperschaft (sog. Verbandsmodell), in: Fritz Ossenbühl (Hrsg.), Deutscher Atomrechtstag 2004, Baden-Baden, 2005, S. 153 - 167</w:t>
      </w:r>
    </w:p>
    <w:p w14:paraId="3EB44C9D"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Verfassungsrechtliche Probleme des ERP-Sondervermögens, DÖV 2005, S. 674 - 682</w:t>
      </w:r>
    </w:p>
    <w:p w14:paraId="25EC0318" w14:textId="38E3417E"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Verfassungsrechtliche Anforderungen an die Ausübung von Gesetzgebungskompetenzen (Art. 72 Abs. 2; 75 Abs. 2; 125a Abs. 2 GG) </w:t>
      </w:r>
      <w:r w:rsidR="003A1A5E">
        <w:rPr>
          <w:color w:val="434343"/>
          <w:lang w:eastAsia="ja-JP"/>
        </w:rPr>
        <w:t>–</w:t>
      </w:r>
      <w:r w:rsidRPr="00AE5B99">
        <w:rPr>
          <w:color w:val="434343"/>
          <w:lang w:eastAsia="ja-JP"/>
        </w:rPr>
        <w:t xml:space="preserve"> materielles Kompetenzzuweisungsrecht als Element einer Föderalismusreform, in: Hans-Günter Henneke (Hrsg.), Föderalismusreform in Deutschland. Professorengespräch 2005 des Deutschen Landkreistages (=Schriften zum deutschen und europäischen Kommunalrecht, 26), Heidelberg 2005, S. 55 - 80</w:t>
      </w:r>
    </w:p>
    <w:p w14:paraId="6A3F844F" w14:textId="6A8F3739"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Kirchlicher Vermögensschutz </w:t>
      </w:r>
      <w:r w:rsidR="00C628A4">
        <w:rPr>
          <w:color w:val="434343"/>
          <w:lang w:eastAsia="ja-JP"/>
        </w:rPr>
        <w:t>–</w:t>
      </w:r>
      <w:r w:rsidRPr="00AE5B99">
        <w:rPr>
          <w:color w:val="434343"/>
          <w:lang w:eastAsia="ja-JP"/>
        </w:rPr>
        <w:t xml:space="preserve"> St. Salvator, in: Hans-Michael Heinig (Hrsg.), Fälle und Lösungen. Übungsklausuren mit Fällen und Lösungen zum Staatskirchenrecht, Stuttgart 2005, S. 217 - 230</w:t>
      </w:r>
    </w:p>
    <w:p w14:paraId="21C3CDAD"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Die Abgrenzung von Steuern und Sozialabgaben im europäischen Recht, in: Ulrich Becker / Wolfgang Schön (Hrsg.), Steuer- und Sozialstaat im europäischen Systemwettbewerb, Tübingen 2005, S. 193 - 213</w:t>
      </w:r>
    </w:p>
    <w:p w14:paraId="6FB62CCD"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Kirchenrecht an der Rechts- und Staatswissenschaftlichen Fakultät der Universität Bonn, ZevKR 51 (2006), S. 70 - 95</w:t>
      </w:r>
    </w:p>
    <w:p w14:paraId="3AE1B533"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B65D6E">
        <w:rPr>
          <w:i/>
          <w:color w:val="434343"/>
          <w:lang w:eastAsia="ja-JP"/>
        </w:rPr>
        <w:t>zusammen mit</w:t>
      </w:r>
      <w:r w:rsidRPr="00AE5B99">
        <w:rPr>
          <w:color w:val="434343"/>
          <w:lang w:eastAsia="ja-JP"/>
        </w:rPr>
        <w:t xml:space="preserve"> </w:t>
      </w:r>
      <w:r w:rsidRPr="00AE5B99">
        <w:rPr>
          <w:i/>
          <w:iCs/>
          <w:color w:val="434343"/>
          <w:lang w:eastAsia="ja-JP"/>
        </w:rPr>
        <w:t>Hermann Pünder</w:t>
      </w:r>
      <w:r w:rsidRPr="00AE5B99">
        <w:rPr>
          <w:color w:val="434343"/>
          <w:lang w:eastAsia="ja-JP"/>
        </w:rPr>
        <w:t>) Kommunales Finanzrecht in der Verfassungsordnung von Bund und Ländern, in: Hans-Günter Henneke/Hermann Pünder/Christian Waldhoff (Hrsg.), Recht der Kommunalfinanzen, München 2006, § 1, S. 1 - 24</w:t>
      </w:r>
    </w:p>
    <w:p w14:paraId="7FF141C3"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Entwicklung der kommunalen Finanz- und Haushaltswirtschaft in historischer Perspektive, in: Hans-Günter Henneke/Hermann Pünder/Christian Waldhoff (Hrsg.), Recht der Kommunalfinanzen, München 2006, § 2, S. 24 - 33</w:t>
      </w:r>
    </w:p>
    <w:p w14:paraId="6574C6AE"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Kommunale Einnahmen im Überblick, in: Hans-Günter Henneke/Hermann Pünder/Christian Waldhoff (Hrsg.), Recht der Kommunalfinanzen, München 2006, § 7, S. 108 - 120</w:t>
      </w:r>
    </w:p>
    <w:p w14:paraId="4BF6F054"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Örtliche Verbrauch- und Aufwandsteuern, in: Hans-Günter Henneke/Hermann Pünder/Christian Waldhoff (Hrsg.), Recht der Kommunalfinanzen, München 2006, § 13, S. 212 - 229</w:t>
      </w:r>
    </w:p>
    <w:p w14:paraId="5B6EAEAA" w14:textId="28E052A6"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Reformperspektiven im Finanzrecht </w:t>
      </w:r>
      <w:r w:rsidR="003A1A5E">
        <w:rPr>
          <w:color w:val="434343"/>
          <w:lang w:eastAsia="ja-JP"/>
        </w:rPr>
        <w:t>–</w:t>
      </w:r>
      <w:r w:rsidRPr="00AE5B99">
        <w:rPr>
          <w:color w:val="434343"/>
          <w:lang w:eastAsia="ja-JP"/>
        </w:rPr>
        <w:t xml:space="preserve"> ein Überblick, Die Verwaltung 39 (2006), S. 155 - 186</w:t>
      </w:r>
    </w:p>
    <w:p w14:paraId="402F9C08"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Das mißverstandene Mandat: Verfassungsrechtliche Maßstäbe zur Normierung der erweiterten Offenlegungspflichten der Abgeordneten des Deutschen Bundestags, ZParl. 2006, S. 251 - 266</w:t>
      </w:r>
    </w:p>
    <w:p w14:paraId="7D81A470"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Auslegung von Doppelbesteuerungsabkommen: Zweck und Rolle des OECD-Kommentars, in: Detlev J. Piltz/Manfred Günkel/Ursula Niemann (Hrsg.), Steuerberater-Jahrbuch 2005/2006, Köln 2006, S. 161 - 178</w:t>
      </w:r>
    </w:p>
    <w:p w14:paraId="718E4C1A"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Regelungsstrukturen des deutschen Gemeinnützigkeits- und Spendenrechts - Kritik und Reform, in: W. Rainer Walz/Rainer Hüttemann/Peter Rawert/Karsten Schmidt (Hrsg.), Non Profit Law Yearbook 2005, Köln 2006, S. 75 - 94</w:t>
      </w:r>
    </w:p>
    <w:p w14:paraId="7B0A858A"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Die Rückwirkung von EuGH-Entscheidungen. Finanzielle Auswirkungen europäischer Rechtsprechung als Kriterium einer Entscheidungsfolgenabschätzung, EuR 2006, S. 615 - 636</w:t>
      </w:r>
    </w:p>
    <w:p w14:paraId="5DB20853"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Menschenwürde als Rechtsbegriff und Rechtsproblem, Evangelische Theologie 66 (2006), S. 425 - 439</w:t>
      </w:r>
    </w:p>
    <w:p w14:paraId="11F64879"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Die steuerfreie Kostenpauschale der Abgeordneten des Deutschen Bundestags, FR </w:t>
      </w:r>
      <w:r w:rsidRPr="00AE5B99">
        <w:rPr>
          <w:color w:val="434343"/>
          <w:lang w:eastAsia="ja-JP"/>
        </w:rPr>
        <w:lastRenderedPageBreak/>
        <w:t>2007, S. 225 - 235</w:t>
      </w:r>
    </w:p>
    <w:p w14:paraId="30470826"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Staatskirchenrecht oder Religionsverfassungsrecht. Einwirkungen des Völker- und Europarechts, in: Hans Michael Heinig/Christian Walter (Hrsg.), Staatskirchenrecht oder Religionsverfassungsrecht? Ein begriffspolitischer Grundsatzstreit, Tübingen 2007, S. 251 - 282</w:t>
      </w:r>
    </w:p>
    <w:p w14:paraId="30106A81"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Finanzautonomie und Finanzverflechtung in gestuften Rechtsordnungen, in: Bundesstaat und Europäische Union zwischen Konflikt und Kooperation (=VVDStRL, 66), Berlin 2007, S. 216 - 276</w:t>
      </w:r>
    </w:p>
    <w:p w14:paraId="00D2A265" w14:textId="38A5EF49"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„Der Gesetzgeber schuld</w:t>
      </w:r>
      <w:r w:rsidR="007D642A">
        <w:rPr>
          <w:color w:val="434343"/>
          <w:lang w:eastAsia="ja-JP"/>
        </w:rPr>
        <w:t>et nichts als das Gesetz“</w:t>
      </w:r>
      <w:r w:rsidRPr="00AE5B99">
        <w:rPr>
          <w:color w:val="434343"/>
          <w:lang w:eastAsia="ja-JP"/>
        </w:rPr>
        <w:t xml:space="preserve"> </w:t>
      </w:r>
      <w:r w:rsidR="00C628A4">
        <w:rPr>
          <w:color w:val="434343"/>
          <w:lang w:eastAsia="ja-JP"/>
        </w:rPr>
        <w:t>–</w:t>
      </w:r>
      <w:r w:rsidRPr="00AE5B99">
        <w:rPr>
          <w:color w:val="434343"/>
          <w:lang w:eastAsia="ja-JP"/>
        </w:rPr>
        <w:t xml:space="preserve"> Zu alten und neuen Begründungspflichten des parlamentarischen Gesetzgebers, in: Otto Depenheuer/Markus Heintzen/Matthias Jestaedt/Peter Axer (Hrsg.), Staat im Wort. Festschrift für Josef Isensee, </w:t>
      </w:r>
      <w:proofErr w:type="gramStart"/>
      <w:r w:rsidRPr="00AE5B99">
        <w:rPr>
          <w:color w:val="434343"/>
          <w:lang w:eastAsia="ja-JP"/>
        </w:rPr>
        <w:t>Heidelberg  2007</w:t>
      </w:r>
      <w:proofErr w:type="gramEnd"/>
      <w:r w:rsidRPr="00AE5B99">
        <w:rPr>
          <w:color w:val="434343"/>
          <w:lang w:eastAsia="ja-JP"/>
        </w:rPr>
        <w:t>, S. 325 - 343</w:t>
      </w:r>
    </w:p>
    <w:p w14:paraId="2BACB3C4"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Zum staatsrechtlichen Werk Klaus Schlaichs, in: In memoriam Klaus Schlaich (1.5.1937 - 23.10.2005). Reden gehalten bei der Akademischen Gedenkfeier am 21. April 2007 im Festsaal der Rheinischen Friedrich-Wilhelms-Universität Bonn) (= Alma Mater. Beiträge zur Geschichte der Universität Bonn, Bd. 102), Bonn 2007, S. 28 - 35 </w:t>
      </w:r>
    </w:p>
    <w:p w14:paraId="1B792D17" w14:textId="41D2352D" w:rsidR="00A43562" w:rsidRPr="000F2895"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Urteilsanmerkung zu dem Urteil des BVerfG vom 9. Juli 2007 </w:t>
      </w:r>
      <w:r w:rsidR="000F2895">
        <w:rPr>
          <w:color w:val="434343"/>
          <w:lang w:eastAsia="ja-JP"/>
        </w:rPr>
        <w:t>–</w:t>
      </w:r>
      <w:r w:rsidRPr="000F2895">
        <w:rPr>
          <w:color w:val="434343"/>
          <w:lang w:eastAsia="ja-JP"/>
        </w:rPr>
        <w:t xml:space="preserve"> Verfassungsmäßigkeit des Bundeshaushalts 2004, JZ 2008, S. 200 - 203</w:t>
      </w:r>
    </w:p>
    <w:p w14:paraId="12C383E4"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Die Zukunft des Staatskirchenrechts, in: 42. Essener Gespräche zum Thema Staat und Kirche, Münster 2008, S. 55 - 106</w:t>
      </w:r>
    </w:p>
    <w:p w14:paraId="71A78A52"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Rechtsprechungsanalyse Steuerrecht und Verfassungsrecht. Bericht über ausgewählte Entscheidungen zu verfassungsrechtlichen Vorgaben für die Besteuerung aus den Jahren 2002 bis 2007, Die Verwaltung 41 (2008), S. 259 - 294</w:t>
      </w:r>
    </w:p>
    <w:p w14:paraId="43724EBB"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Europäische Staatsrechtslehrer. Institutionen und Verfassungsgerichtsbarkeit im parlamentarischen System. Zum staatsrechtlichen Werk Klaus Schlaichs, JöR 56 (2008), S. 235 - 240</w:t>
      </w:r>
    </w:p>
    <w:p w14:paraId="13434390" w14:textId="2564853F"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Richterbilder: Erna Scheffler </w:t>
      </w:r>
      <w:r w:rsidR="003A1A5E">
        <w:rPr>
          <w:color w:val="434343"/>
          <w:lang w:eastAsia="ja-JP"/>
        </w:rPr>
        <w:t>–</w:t>
      </w:r>
      <w:r w:rsidRPr="00AE5B99">
        <w:rPr>
          <w:color w:val="434343"/>
          <w:lang w:eastAsia="ja-JP"/>
        </w:rPr>
        <w:t xml:space="preserve"> erste Richterin des Bundesverfassungsgerichts, JöR 56 (2008), S. 261 - 268</w:t>
      </w:r>
    </w:p>
    <w:p w14:paraId="1683A6CF" w14:textId="3D21CCAC" w:rsidR="00A43562" w:rsidRPr="00AE5B99" w:rsidRDefault="003A1A5E"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„Hartz IV“</w:t>
      </w:r>
      <w:r w:rsidR="00A43562" w:rsidRPr="00AE5B99">
        <w:rPr>
          <w:color w:val="434343"/>
          <w:lang w:eastAsia="ja-JP"/>
        </w:rPr>
        <w:t xml:space="preserve"> vor dem Bundesverfassungsgericht - die Selbstverwaltung der Kreise zwischen eigenverantwortlicher Aufgabenwahrnehmung und verfassungswidriger Mischverwaltung, ZES 6 (2008), S. 57 - 74 (erneut abgedruckt in </w:t>
      </w:r>
      <w:r w:rsidR="00A43562" w:rsidRPr="00AE5B99">
        <w:rPr>
          <w:i/>
          <w:iCs/>
          <w:color w:val="434343"/>
          <w:lang w:eastAsia="ja-JP"/>
        </w:rPr>
        <w:t>Henneke</w:t>
      </w:r>
      <w:r w:rsidR="00A43562" w:rsidRPr="00AE5B99">
        <w:rPr>
          <w:color w:val="434343"/>
          <w:lang w:eastAsia="ja-JP"/>
        </w:rPr>
        <w:t xml:space="preserve"> (Hrsg.), Wege zu einer verfassungskonformen SGB II-Organisation. BVerfG-Urteil, Reaktionen und Schlussfolgerungen im Schrifttum 2009, Berlin 2009)</w:t>
      </w:r>
    </w:p>
    <w:p w14:paraId="53A30F37"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Mischfinanzierungen in der Bundesstaatsreform, KritV 91 (2008), S. 213 - 230</w:t>
      </w:r>
    </w:p>
    <w:p w14:paraId="318B9DC7"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B65D6E">
        <w:rPr>
          <w:i/>
          <w:color w:val="434343"/>
          <w:lang w:eastAsia="ja-JP"/>
        </w:rPr>
        <w:t>zusammen mit</w:t>
      </w:r>
      <w:r w:rsidRPr="00AE5B99">
        <w:rPr>
          <w:color w:val="434343"/>
          <w:lang w:eastAsia="ja-JP"/>
        </w:rPr>
        <w:t xml:space="preserve"> </w:t>
      </w:r>
      <w:r w:rsidRPr="00AE5B99">
        <w:rPr>
          <w:i/>
          <w:iCs/>
          <w:color w:val="434343"/>
          <w:lang w:eastAsia="ja-JP"/>
        </w:rPr>
        <w:t>Rainer Hüttemann</w:t>
      </w:r>
      <w:r w:rsidRPr="00AE5B99">
        <w:rPr>
          <w:color w:val="434343"/>
          <w:lang w:eastAsia="ja-JP"/>
        </w:rPr>
        <w:t>) Steuerrecht in Forschung und akademischem Unterricht an der Universität Bonn, in: Hüttemann/Waldhoff (Hrsg.), Steuerrecht an der Universität Bonn (= Bonner Schriften zum Steuer-, Finanz- und Unternehmensrecht, Bd. 1), Münster 2008, S. 1 - 54</w:t>
      </w:r>
    </w:p>
    <w:p w14:paraId="5430AB3E" w14:textId="0310C12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Administrative Rechtsdurchsetzung zwischen Justiz und Verwaltung </w:t>
      </w:r>
      <w:r w:rsidR="003A1A5E">
        <w:rPr>
          <w:color w:val="434343"/>
          <w:lang w:eastAsia="ja-JP"/>
        </w:rPr>
        <w:t>–</w:t>
      </w:r>
      <w:r w:rsidRPr="00AE5B99">
        <w:rPr>
          <w:color w:val="434343"/>
          <w:lang w:eastAsia="ja-JP"/>
        </w:rPr>
        <w:t xml:space="preserve"> Zur Entstehung des modernen Verwaltungsvollstreckungsrechts in den Preußischen Reformen unter Stein 1808, in: Hans-Georg Hermann/Thomas Gutmann/Joachim Rückert/Mathias Schmoeckel/Harald Siems (Hrsg.), Von den Leges Barbarorum bis zum ius barbarum des Nationalsozialismus. Festschrift für Hermann Nehlsen zum 70. Geburtstag, Köln u.a. 2008, S. 330 - 348</w:t>
      </w:r>
    </w:p>
    <w:p w14:paraId="6A263C18"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Religionsfreiheit und ihre Grenzen, in: Anton Rauscher (Hrsg.), Handbuch der katholischen Soziallehre, Berlin 2008, S. 957 - 974</w:t>
      </w:r>
    </w:p>
    <w:p w14:paraId="57DC4500" w14:textId="77CA6CDE"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lastRenderedPageBreak/>
        <w:t xml:space="preserve">Die Staatsperson und ihre Handlungen </w:t>
      </w:r>
      <w:r w:rsidR="007D642A">
        <w:rPr>
          <w:color w:val="434343"/>
          <w:lang w:eastAsia="ja-JP"/>
        </w:rPr>
        <w:t>–</w:t>
      </w:r>
      <w:r w:rsidRPr="00AE5B99">
        <w:rPr>
          <w:color w:val="434343"/>
          <w:lang w:eastAsia="ja-JP"/>
        </w:rPr>
        <w:t xml:space="preserve"> „Staatswillenspositivismus</w:t>
      </w:r>
      <w:r w:rsidR="00190649">
        <w:rPr>
          <w:color w:val="434343"/>
          <w:lang w:eastAsia="ja-JP"/>
        </w:rPr>
        <w:t>“</w:t>
      </w:r>
      <w:r w:rsidRPr="00AE5B99">
        <w:rPr>
          <w:color w:val="434343"/>
          <w:lang w:eastAsia="ja-JP"/>
        </w:rPr>
        <w:t xml:space="preserve"> als mittelbare Rezeption psychologisierender Ansätze, in: Mathias Schmoeckel (Hrsg.), Psychologie als Argument in der juristischen Literatur des Kaiserreichs, 2009, S. 237 - 254</w:t>
      </w:r>
    </w:p>
    <w:p w14:paraId="384FFA80"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Manipulation von Wahlterminen durch die Zusammenlegung von Wahlen? Verfassungsfragen der Zusammenlegung von Kommunal- und Europawahl 2009 in Nordrhein-Westfalen, JZ 2009, S. 144 - 148  </w:t>
      </w:r>
    </w:p>
    <w:p w14:paraId="6F49D0BF" w14:textId="77777777" w:rsidR="00A43562" w:rsidRPr="003873AE"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val="en-US" w:eastAsia="ja-JP"/>
        </w:rPr>
      </w:pPr>
      <w:r w:rsidRPr="003873AE">
        <w:rPr>
          <w:color w:val="434343"/>
          <w:lang w:val="en-US" w:eastAsia="ja-JP"/>
        </w:rPr>
        <w:t>Recent developments relating to the retroactive effect of decisions of the ECJ, Common Market Law Review 46 (2009), p. 173 - 190</w:t>
      </w:r>
    </w:p>
    <w:p w14:paraId="7DDA1DD4" w14:textId="56158A86"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Anmerkung zum Beschluss der Zweiten Kammer des Zweiten Senats des Bundesverfassungsgerichts </w:t>
      </w:r>
      <w:r w:rsidR="007D642A">
        <w:rPr>
          <w:color w:val="434343"/>
          <w:lang w:eastAsia="ja-JP"/>
        </w:rPr>
        <w:t xml:space="preserve">(Rechtsschutz in kirchlichen Angelegenheiten) </w:t>
      </w:r>
      <w:r w:rsidRPr="00AE5B99">
        <w:rPr>
          <w:color w:val="434343"/>
          <w:lang w:eastAsia="ja-JP"/>
        </w:rPr>
        <w:t>vom 5.12.2008, 2 BvR 717/08, GPR 2009, S. 71 - 74</w:t>
      </w:r>
    </w:p>
    <w:p w14:paraId="33B74454"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Die innerstaatlichen Grundrechte als Maßstab der </w:t>
      </w:r>
      <w:proofErr w:type="gramStart"/>
      <w:r w:rsidRPr="00AE5B99">
        <w:rPr>
          <w:color w:val="434343"/>
          <w:lang w:eastAsia="ja-JP"/>
        </w:rPr>
        <w:t>Außenpolitik?,</w:t>
      </w:r>
      <w:proofErr w:type="gramEnd"/>
      <w:r w:rsidRPr="00AE5B99">
        <w:rPr>
          <w:color w:val="434343"/>
          <w:lang w:eastAsia="ja-JP"/>
        </w:rPr>
        <w:t xml:space="preserve"> in: Josef Isensee (Hrsg.), Menschenrechte als Weltmission, Berlin 2009, S. 43 - 79</w:t>
      </w:r>
    </w:p>
    <w:p w14:paraId="18C51D2A" w14:textId="40F3E51C" w:rsidR="00A43562" w:rsidRPr="00AE5B99" w:rsidRDefault="007D642A"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Die „andere Seite“</w:t>
      </w:r>
      <w:r w:rsidR="00A43562" w:rsidRPr="00AE5B99">
        <w:rPr>
          <w:color w:val="434343"/>
          <w:lang w:eastAsia="ja-JP"/>
        </w:rPr>
        <w:t xml:space="preserve"> des Steuerverfassungsrechts, in: Wolfgang Schön/Karin E.M. Beck (Hrsg.), Zukunftsfragen des deutschen Steuerrechts (=MPI Studies on Intellectual Property, Competition and Tax Law), Berlin u.a. 2009, S. 125 - 160</w:t>
      </w:r>
    </w:p>
    <w:p w14:paraId="5CFC9525"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Kann es im europäischen Steuerrecht ein Anerkennungsprinzip geben? IStR 2009, S. 386 - 392</w:t>
      </w:r>
    </w:p>
    <w:p w14:paraId="60F291D1" w14:textId="2A9E2F93"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Peter Dieterich</w:t>
      </w:r>
      <w:r w:rsidRPr="00AE5B99">
        <w:rPr>
          <w:color w:val="434343"/>
          <w:lang w:eastAsia="ja-JP"/>
        </w:rPr>
        <w:t xml:space="preserve">) Die Föderalismusreform II </w:t>
      </w:r>
      <w:r w:rsidR="007D642A">
        <w:rPr>
          <w:color w:val="434343"/>
          <w:lang w:eastAsia="ja-JP"/>
        </w:rPr>
        <w:t>–</w:t>
      </w:r>
      <w:r w:rsidRPr="00AE5B99">
        <w:rPr>
          <w:color w:val="434343"/>
          <w:lang w:eastAsia="ja-JP"/>
        </w:rPr>
        <w:t xml:space="preserve"> Instrument zur Bewältigung der staatlichen Finanzkrise oder verfassungsrechtliches Placebo? ZG 2009, S. 97 - 123</w:t>
      </w:r>
    </w:p>
    <w:p w14:paraId="54D0F5E9"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Eigene EU-Steuern als Problem des Verfassungs- und Europarechts, in: Kai A. Konrad/Tim Lohse (Hrsg.), Einnahmen- und Steuerpolitik in Europa: Herausforderungen und Chancen, Frankfurt a.M. 2009, S. 47 - 73</w:t>
      </w:r>
    </w:p>
    <w:p w14:paraId="6F76D691"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Verfassungsfragen der Kontrollkompetenzen des Landesrechnungshofs in gestuften Vermögensprivatisierungen, NWVBl. 2009, S. 369 - 374</w:t>
      </w:r>
    </w:p>
    <w:p w14:paraId="3D125A3C"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Das Anerkennungsprinzip im Steuerrecht, in: Studiengesellschaft für Wirtschaft und Recht i.V.m. Thomas Eilmansberger u.a. (Hrsg.), Anerkennungs- / Herkunftslandprinzip in Europa, Wien 2009, S. 195 - 209</w:t>
      </w:r>
    </w:p>
    <w:p w14:paraId="041C7675"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Begriff und Funktion der Finanzverfassung im Werk Klaus Vogels, in: Moris Lehner (Hrsg.), Reden zum Andenken an Klaus Vogel (=Münchener Schriften zum Internationalen Steuerrecht, Bd. 29), München 2010, S. 43 - 57</w:t>
      </w:r>
    </w:p>
    <w:p w14:paraId="52F924FE"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Stand und Perspektiven der Verfassungsgeschichte in Deutschland aus Sicht der Rechtswissenschaft, in: Helmut Neuhaus (Hrsg.), Verfassungsgeschichte in Europa. Tagung der Vereinigung für Verfassungsgeschichte in Hofgeismar vom 27. bis 29. März 2006 (=</w:t>
      </w:r>
      <w:proofErr w:type="gramStart"/>
      <w:r w:rsidRPr="00AE5B99">
        <w:rPr>
          <w:color w:val="434343"/>
          <w:lang w:eastAsia="ja-JP"/>
        </w:rPr>
        <w:t>Beiheft  18</w:t>
      </w:r>
      <w:proofErr w:type="gramEnd"/>
      <w:r w:rsidRPr="00AE5B99">
        <w:rPr>
          <w:color w:val="434343"/>
          <w:lang w:eastAsia="ja-JP"/>
        </w:rPr>
        <w:t xml:space="preserve"> zu „Der Staat"), Berlin 2010, S. 145 - 174</w:t>
      </w:r>
    </w:p>
    <w:p w14:paraId="3B0D10D8"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Das Subsidiaritätsprinzip zwischen Ordnungsprinzip der katholischen Soziallehre und rechtlicher Verwertbarkeit, in: Anton Rauscher (Hrsg.), Verantwortung in einer komplexen Gesellschaft / Responsibility: Recognition </w:t>
      </w:r>
      <w:proofErr w:type="gramStart"/>
      <w:r w:rsidRPr="00AE5B99">
        <w:rPr>
          <w:color w:val="434343"/>
          <w:lang w:eastAsia="ja-JP"/>
        </w:rPr>
        <w:t>ans Limits</w:t>
      </w:r>
      <w:proofErr w:type="gramEnd"/>
      <w:r w:rsidRPr="00AE5B99">
        <w:rPr>
          <w:color w:val="434343"/>
          <w:lang w:eastAsia="ja-JP"/>
        </w:rPr>
        <w:t>, Berlin 2010, S. 85 - 101  </w:t>
      </w:r>
    </w:p>
    <w:p w14:paraId="7F4C0FDF"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Die Testierfähigkeit Demenzkranker im Lichte des Verfassungsrechts, in: Mathias Schmoeckel (Hrsg.), Demenz und Recht. Bestimmung der Geschäfts- und Testierfähigkeit (=Schriften zum Notarrecht, Bd. 18), Baden-Baden 2010, S. 57 - 74</w:t>
      </w:r>
    </w:p>
    <w:p w14:paraId="2409E350" w14:textId="630D5D79"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Der Widerstand gegen den Nationalsozialismus und das Grundgesetz, Der Staat </w:t>
      </w:r>
      <w:r w:rsidR="007D642A">
        <w:rPr>
          <w:color w:val="434343"/>
          <w:lang w:eastAsia="ja-JP"/>
        </w:rPr>
        <w:t xml:space="preserve">49 </w:t>
      </w:r>
      <w:r w:rsidRPr="00AE5B99">
        <w:rPr>
          <w:color w:val="434343"/>
          <w:lang w:eastAsia="ja-JP"/>
        </w:rPr>
        <w:t>(2010), S. 51 - 76</w:t>
      </w:r>
    </w:p>
    <w:p w14:paraId="1362A17F" w14:textId="30E4AE78"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Die Kirchen und das Grundgesetz nach 60 Jahren, in: Christian Hillgruber/Christian Waldhoff (Hrsg.), 60 Jahre Bonner Grundgesetz </w:t>
      </w:r>
      <w:r w:rsidR="00C50CF1">
        <w:rPr>
          <w:color w:val="434343"/>
          <w:lang w:eastAsia="ja-JP"/>
        </w:rPr>
        <w:t>–</w:t>
      </w:r>
      <w:r w:rsidRPr="00AE5B99">
        <w:rPr>
          <w:color w:val="434343"/>
          <w:lang w:eastAsia="ja-JP"/>
        </w:rPr>
        <w:t xml:space="preserve"> eine erfolgreiche Verfassung? </w:t>
      </w:r>
      <w:r w:rsidRPr="00AE5B99">
        <w:rPr>
          <w:color w:val="434343"/>
          <w:lang w:eastAsia="ja-JP"/>
        </w:rPr>
        <w:lastRenderedPageBreak/>
        <w:t>Göttingen 2010, S. 151 - 172 (Kur</w:t>
      </w:r>
      <w:r w:rsidR="00954B2E">
        <w:rPr>
          <w:color w:val="434343"/>
          <w:lang w:eastAsia="ja-JP"/>
        </w:rPr>
        <w:t>z</w:t>
      </w:r>
      <w:r w:rsidRPr="00AE5B99">
        <w:rPr>
          <w:color w:val="434343"/>
          <w:lang w:eastAsia="ja-JP"/>
        </w:rPr>
        <w:t>fassung in: Bonner Rechtsjournal, Sonderheft 1/2009, S. 18 - 21)</w:t>
      </w:r>
    </w:p>
    <w:p w14:paraId="49DA425A" w14:textId="07AAD5DE"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Das Finanzmarktstabilisierungsgesetz in der föderativen Ordnung </w:t>
      </w:r>
      <w:r w:rsidR="00C50CF1">
        <w:rPr>
          <w:color w:val="434343"/>
          <w:lang w:eastAsia="ja-JP"/>
        </w:rPr>
        <w:t>–</w:t>
      </w:r>
      <w:r w:rsidRPr="00AE5B99">
        <w:rPr>
          <w:color w:val="434343"/>
          <w:lang w:eastAsia="ja-JP"/>
        </w:rPr>
        <w:t xml:space="preserve"> unter besonderer Berücksichtigung der öffentlichen Banken, Der Landkreis 2010, S. 175 - 180  </w:t>
      </w:r>
    </w:p>
    <w:p w14:paraId="55305FE5"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Neue Religionskonflikte und staatliche Neutralität: Erfordern weltanschauliche und religiöse Entwicklungen Antworten des </w:t>
      </w:r>
      <w:proofErr w:type="gramStart"/>
      <w:r w:rsidRPr="00AE5B99">
        <w:rPr>
          <w:color w:val="434343"/>
          <w:lang w:eastAsia="ja-JP"/>
        </w:rPr>
        <w:t>Staates?,</w:t>
      </w:r>
      <w:proofErr w:type="gramEnd"/>
      <w:r w:rsidRPr="00AE5B99">
        <w:rPr>
          <w:color w:val="434343"/>
          <w:lang w:eastAsia="ja-JP"/>
        </w:rPr>
        <w:t xml:space="preserve"> Beilage 3/2010 zu NJW 22/2010, S. 90 - 93</w:t>
      </w:r>
    </w:p>
    <w:p w14:paraId="3BDBAEEE" w14:textId="12169C0C"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Das Finanzmarktstabilisierungsgesetz in der föderativen Ordnung </w:t>
      </w:r>
      <w:r w:rsidR="00C50CF1">
        <w:rPr>
          <w:color w:val="434343"/>
          <w:lang w:eastAsia="ja-JP"/>
        </w:rPr>
        <w:t>–</w:t>
      </w:r>
      <w:r w:rsidRPr="00AE5B99">
        <w:rPr>
          <w:color w:val="434343"/>
          <w:lang w:eastAsia="ja-JP"/>
        </w:rPr>
        <w:t xml:space="preserve"> unter besonderer Berücksichtigung der öffentlichen Banken, in: Hans-Günter Henneke (Hrsg.), Sparkassen, Landes- und Förderbanken nach der Finanzkrise (=Schriften zum deutschen und europäischen Kommunalrecht, 40), Stuttgart 2010, S. 97 - 115</w:t>
      </w:r>
    </w:p>
    <w:p w14:paraId="75D2B906"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Holger Grefrath</w:t>
      </w:r>
      <w:r w:rsidRPr="00AE5B99">
        <w:rPr>
          <w:color w:val="434343"/>
          <w:lang w:eastAsia="ja-JP"/>
        </w:rPr>
        <w:t>): Eine kopflose Republik? Das erste Interregnum der Bundesrepublik Deutschland, Journal für Juristische Zeitgeschichte 2010, S. 103 - 107</w:t>
      </w:r>
    </w:p>
    <w:p w14:paraId="30110FD8" w14:textId="30A66C30"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Verfassungsgeschichte und Verfassungstheorie, in: Otto Depenheuer/Christoph Grabenwarter (Hrsg.), Verfassungstheorie, Tübingen 2010, § 5 (S. 119 - 152)</w:t>
      </w:r>
      <w:r w:rsidR="00715E99">
        <w:rPr>
          <w:color w:val="434343"/>
          <w:lang w:eastAsia="ja-JP"/>
        </w:rPr>
        <w:t xml:space="preserve"> (übersetzt ins Türkische: Anayasa Tarihçesi ve Anayasa Teorisi, in: Depenheuer/Grabenwarter (ed.), Anayasa Teorisi, Ekim 2014, § 4 (S. 131 – 166))</w:t>
      </w:r>
    </w:p>
    <w:p w14:paraId="1999A444" w14:textId="1462D577" w:rsidR="00A43562" w:rsidRPr="00715E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Die Entstehung des Verfassungsgesetzes, in: Otto Depenheuer/Christoph Grabenwarter (Hrsg.), Verfassungstheorie, Tübingen 2010, § 8 (S. 289 - 348)</w:t>
      </w:r>
      <w:r w:rsidR="00715E99">
        <w:rPr>
          <w:color w:val="434343"/>
          <w:lang w:eastAsia="ja-JP"/>
        </w:rPr>
        <w:t xml:space="preserve"> (übersetzt ins Türkische: Anayasa Kanununun Meydana Gelisi, in: Depenheuer/Grabenwarter (ed.), Anayasa Teorisi, Ekim 2014, § 8 (S. 305 – 362))</w:t>
      </w:r>
    </w:p>
    <w:p w14:paraId="363F9387" w14:textId="56BA78B0"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Hanka von Aswege</w:t>
      </w:r>
      <w:r w:rsidRPr="00AE5B99">
        <w:rPr>
          <w:color w:val="434343"/>
          <w:lang w:eastAsia="ja-JP"/>
        </w:rPr>
        <w:t xml:space="preserve">) </w:t>
      </w:r>
      <w:r w:rsidR="00C50CF1">
        <w:rPr>
          <w:color w:val="434343"/>
          <w:lang w:eastAsia="ja-JP"/>
        </w:rPr>
        <w:t>Kernenergie als „goldene Brücke“</w:t>
      </w:r>
      <w:r w:rsidRPr="00AE5B99">
        <w:rPr>
          <w:color w:val="434343"/>
          <w:lang w:eastAsia="ja-JP"/>
        </w:rPr>
        <w:t>? Verfassungsrechtliche Probleme der Aushandlung von Laufzeitverlängerungen gegen Gewinnabschöpfungen, ZNE 2010, S. 328 - 343</w:t>
      </w:r>
    </w:p>
    <w:p w14:paraId="400B7F2E"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Rechtliche Organisationsprobleme muslimischer Gemeinschaften in Deutschland. Anmerkungen zum Organisationsrecht für Religionsgemeinschaften, Heinrich-Böll-Stiftung (Hrsg.), Muslimische Gemeinschaften zwischen Recht und Politik. Dossier, 2010, S. 13 - 20 (online unter </w:t>
      </w:r>
      <w:hyperlink r:id="rId7" w:history="1">
        <w:r w:rsidRPr="00AE5B99">
          <w:rPr>
            <w:color w:val="2549B2"/>
            <w:lang w:eastAsia="ja-JP"/>
          </w:rPr>
          <w:t>http://www.migration.boell.de/web/integration/47 2711.asp</w:t>
        </w:r>
      </w:hyperlink>
      <w:r w:rsidRPr="00AE5B99">
        <w:rPr>
          <w:color w:val="434343"/>
          <w:lang w:eastAsia="ja-JP"/>
        </w:rPr>
        <w:t>)</w:t>
      </w:r>
    </w:p>
    <w:p w14:paraId="141AD916"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Katholizismus und Verfassungsstaat, in: Jahres- und Tagungsbericht der Görresgesellschaft 2010, Paderborn 2011, S. 43 - 67; online auf der Homepage der Görres-Gesellschaft (</w:t>
      </w:r>
      <w:hyperlink r:id="rId8" w:history="1">
        <w:r w:rsidRPr="00AE5B99">
          <w:rPr>
            <w:color w:val="2549B2"/>
            <w:lang w:eastAsia="ja-JP"/>
          </w:rPr>
          <w:t>www.goerres.gesellschaft.de</w:t>
        </w:r>
      </w:hyperlink>
      <w:r w:rsidRPr="00AE5B99">
        <w:rPr>
          <w:color w:val="434343"/>
          <w:lang w:eastAsia="ja-JP"/>
        </w:rPr>
        <w:t>)</w:t>
      </w:r>
    </w:p>
    <w:p w14:paraId="6506DE82"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Die Gründungserzählung der Verfassung als Idee des Staates, in: Otto Depenheuer (Hrsg.), Erzählungen vom Staat. Ideen als Grundlage von Staatlichkeit, Wiesbaden 2011, S. 61 - 79</w:t>
      </w:r>
    </w:p>
    <w:p w14:paraId="5392FFEF"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Verfassungsrechtliche Fragen einer Steuer-/Haushaltsfinanzierung des öffentlich-rechtlichen Rundfunks, AfP 2011, S. 1 - 10</w:t>
      </w:r>
    </w:p>
    <w:p w14:paraId="49716471"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Sind EU-Steuern mit dem Verfassungs- und Europarecht vereinbar? Wirtschaftsdienst 2011, S. 89 - 93  </w:t>
      </w:r>
    </w:p>
    <w:p w14:paraId="1E271D1E" w14:textId="367D79F2"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Völker- und verfassungsrechtliche Grenzen öffentlicher Kontrolle und deren Erweiterung durch internationale Verträge: Grenzüberschreitende Kontrollbefugnisse deutscher Steuerbehörden und Rechnungshöfe, in: Bahri Öztürk/Funda Basaran Yavaşlar (Hrsg.), Vergi Huku Örneğinde Hukuka Uygun ve Etkin Kamu Denetimi Sempozyum Kitabi - Rechtmäßige und effektive öffentliche Kontrolle </w:t>
      </w:r>
      <w:r w:rsidR="00C50CF1">
        <w:rPr>
          <w:color w:val="434343"/>
          <w:lang w:eastAsia="ja-JP"/>
        </w:rPr>
        <w:t>–</w:t>
      </w:r>
      <w:r w:rsidRPr="00AE5B99">
        <w:rPr>
          <w:color w:val="434343"/>
          <w:lang w:eastAsia="ja-JP"/>
        </w:rPr>
        <w:t xml:space="preserve"> am Beispiel des Steuerrechts, Istanbul 2011, S. 52 - 64 (ebd., S. 37 - 50; türkische Übersetzung durch </w:t>
      </w:r>
      <w:r w:rsidRPr="00AE5B99">
        <w:rPr>
          <w:i/>
          <w:iCs/>
          <w:color w:val="434343"/>
          <w:lang w:eastAsia="ja-JP"/>
        </w:rPr>
        <w:t>H. Özden Özkaya-Ferdendeci</w:t>
      </w:r>
      <w:r w:rsidRPr="00AE5B99">
        <w:rPr>
          <w:color w:val="434343"/>
          <w:lang w:eastAsia="ja-JP"/>
        </w:rPr>
        <w:t xml:space="preserve">: Kamu Denetiminin Anayasal ve Devletler Umumi Hukuku'ndan Kaynaklanan Sinirlari ve Bu Durumun Uluslararasi </w:t>
      </w:r>
      <w:r w:rsidRPr="00AE5B99">
        <w:rPr>
          <w:color w:val="434343"/>
          <w:lang w:eastAsia="ja-JP"/>
        </w:rPr>
        <w:lastRenderedPageBreak/>
        <w:t>Sözleşmelerle Aşilmasi: Alman Vergi Makamlarinin ve Sayiştay'in Sinir Ötesi Kontrol Yetkisi)</w:t>
      </w:r>
    </w:p>
    <w:p w14:paraId="5D94C81C"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Nachhaltige Finanzverfassung und Kompetenzverteilung, in: Wolfgang Kahl (Hrsg.), Nachhaltige Finanzstrukturen im Bundesstaat, Tübingen 2011, S. 167 - 187</w:t>
      </w:r>
    </w:p>
    <w:p w14:paraId="2FCDCD90"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Struktur und Funktion des Steuertatbestands, in: Rudolf Mellinghoff/Wolfgang Schön/Hermann-Ulrich Viskorf (Hrsg.), Steuerrecht im Rechtsstaat. Festschrift für Wolfgang Spindler zum 65. Geburtstag, Köln 2011, S. 853 - 878</w:t>
      </w:r>
    </w:p>
    <w:p w14:paraId="0553DCAA" w14:textId="11FE74D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60 Jahre Grundgesetz </w:t>
      </w:r>
      <w:r w:rsidR="00C50CF1">
        <w:rPr>
          <w:color w:val="434343"/>
          <w:lang w:eastAsia="ja-JP"/>
        </w:rPr>
        <w:t>–</w:t>
      </w:r>
      <w:r w:rsidRPr="00AE5B99">
        <w:rPr>
          <w:color w:val="434343"/>
          <w:lang w:eastAsia="ja-JP"/>
        </w:rPr>
        <w:t xml:space="preserve"> aus der Sicht des Steuerrechts, in: JöR 59 (2011), S. 119 - 140 (wieder abgedruckt in: Peter Häberle (Hrsg.), 60 Jahre deutsches Grundgesetz, Tübingen 2011, S. 153 - 174)</w:t>
      </w:r>
    </w:p>
    <w:p w14:paraId="7D4526F1"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Wasserentnahmeentgelte und Braunkohlebergbau, in: DVBl. 2011, S. 653 - 661</w:t>
      </w:r>
    </w:p>
    <w:p w14:paraId="60F3ECCD"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Gregor Thüsing</w:t>
      </w:r>
      <w:r w:rsidRPr="00AE5B99">
        <w:rPr>
          <w:color w:val="434343"/>
          <w:lang w:eastAsia="ja-JP"/>
        </w:rPr>
        <w:t>) Koalitionsfreiheit und Arbeitskampfrecht. Eine verfassungsrechtliche Positionsbestimmung der Flashmob-Entscheidung des BAG, ZfA 2011, S. 329 - 389</w:t>
      </w:r>
    </w:p>
    <w:p w14:paraId="08D05B0E"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Was bedeutet religiös-weltanschauliche Neutralität des Staates? in: Martin Honecker (Hrsg.), Gleichheit der Religionen im Grundgesetz? Symposion der Nordrhein-Westfälischen Akademie der Wissenschaften und Künste, Paderborn 2011, S. 17 - 29  </w:t>
      </w:r>
    </w:p>
    <w:p w14:paraId="3C41CEC0"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Versilbern und Verschulden: Staatssanierung auf Kosten der vorangegangenen und der kommenden Generationen, in: Kai von Lewinski (Hrsg.), Staatsbankrott als Rechtsfrage, Baden-Baden 2011, S. 77 - 105</w:t>
      </w:r>
    </w:p>
    <w:p w14:paraId="43A56B19"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Erforschtes und Unerforschtes zur Geschichte der Steuerrechtswissenschaft in Deutschland, in: Rechtsgeschichte 19 (2011), S. 322 - 331</w:t>
      </w:r>
    </w:p>
    <w:p w14:paraId="3C0A85A2"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Das Kreuz als Rechtsproblem, in: Kirche und Recht 2011, S. 153 - 174</w:t>
      </w:r>
    </w:p>
    <w:p w14:paraId="7AB572BC" w14:textId="431BD2BA"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37. Assistententagung Öffentliches Recht München 1997: Föderalismus </w:t>
      </w:r>
      <w:r w:rsidR="00C50CF1">
        <w:rPr>
          <w:color w:val="434343"/>
          <w:lang w:eastAsia="ja-JP"/>
        </w:rPr>
        <w:t>–</w:t>
      </w:r>
      <w:r w:rsidRPr="00AE5B99">
        <w:rPr>
          <w:color w:val="434343"/>
          <w:lang w:eastAsia="ja-JP"/>
        </w:rPr>
        <w:t xml:space="preserve"> Auflösung oder Zukunft der Staatlichkeit? Ein wissenschaftssoziologischer Rückblick, in: Marcel Dalibor/Alfred G. Debus/Florian Gröblinghoff/Franziska Kruse/Konrad Lachmayer/Alexander Peters/Jörg Scharrer/Hanna Schröder/Olivia Seifert/Corinna Sicko/Isabel Stirn/Karl Stöger (Hrsg.), Perspektiven des Öffentlichen Rechts. Festgabe 50 Jahre Assistententagung Öffentliches Recht, Baden-Baden 2011, S. 439 - 454   </w:t>
      </w:r>
    </w:p>
    <w:p w14:paraId="1DFFA32A"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Was bedeutet religiös-weltanschauliche Neutralität des Staates? in: Ulrich Nembach u.a. (Hrsg.), Informationes Theologiae Europae. Internationales ökumenisches Jahrbuch für Theologie 16 (2007), Frankfurt a.M. 2012, S. 187 - 202</w:t>
      </w:r>
    </w:p>
    <w:p w14:paraId="73234850" w14:textId="32177D3E"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Alternativen zur gegenwärtigen Finanzierung des öffentlich-rechtlichen Rundfunks </w:t>
      </w:r>
      <w:r w:rsidR="00C50CF1">
        <w:rPr>
          <w:color w:val="434343"/>
          <w:lang w:eastAsia="ja-JP"/>
        </w:rPr>
        <w:t>–</w:t>
      </w:r>
      <w:r w:rsidRPr="00AE5B99">
        <w:rPr>
          <w:color w:val="434343"/>
          <w:lang w:eastAsia="ja-JP"/>
        </w:rPr>
        <w:t xml:space="preserve"> Steuer bzw. Haushaltsfinanzierung statt Gebühren bzw. Beitragsfinanzierung, in: Jürgen Becker/Peter Weber (Hrsg.), Funktionsauftrag, Finanzierung, Strukturen - Zur Situation des öffentlich-rechtlichen Rundfunks in Deutschland. Liber amicorum für Carl-Eugen Eberle, Baden-Baden 2012, S. 79 - 106</w:t>
      </w:r>
    </w:p>
    <w:p w14:paraId="52A01E84"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Friedrich Christoph Dahlmann und die vormärzliche Verfassungsgeschichte, in: Thomas Becker/Wilhelm Bleek/Tilman Mayer (Hrsg.), Friedrich Christoph Dahlmann - ein politischer Professor im 19. Jahrhundert, Göttingen 2012, S. 119 - 134</w:t>
      </w:r>
    </w:p>
    <w:p w14:paraId="488F4879"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Die Kernbrennstoffsteuer als Verbrauchsteuer und die steuerrechtliche Typenlehre, ZfZ 2012, S. 57 - 65</w:t>
      </w:r>
    </w:p>
    <w:p w14:paraId="3BDC3541"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Friederike Engler</w:t>
      </w:r>
      <w:r w:rsidRPr="00AE5B99">
        <w:rPr>
          <w:color w:val="434343"/>
          <w:lang w:eastAsia="ja-JP"/>
        </w:rPr>
        <w:t>) Die Küste im deutschen Ertragsteuerrecht - am Beispiel der Besteuerung von Offshore-Energieerzeugung, FR 2012, S. 254 - 262</w:t>
      </w:r>
    </w:p>
    <w:p w14:paraId="09F3DCA7"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Die verfassunggebende Gewalt als Bindeglied zwischen historischer Realität und </w:t>
      </w:r>
      <w:r w:rsidRPr="00AE5B99">
        <w:rPr>
          <w:color w:val="434343"/>
          <w:lang w:eastAsia="ja-JP"/>
        </w:rPr>
        <w:lastRenderedPageBreak/>
        <w:t>Geltung der Verfassung, in: Festschrift für Klaus Stern zum 80. Geburtstag, Berlin 2012, S. 257 - 271  </w:t>
      </w:r>
    </w:p>
    <w:p w14:paraId="6B64A491"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Mitarbeit (=steuerrechtliches Kapitel) zusammen mit Eberhard Wille, Geert Jan Hamilton, Matthias Graf von der Schulenburg und Gregor Thüsing</w:t>
      </w:r>
      <w:r w:rsidRPr="00AE5B99">
        <w:rPr>
          <w:color w:val="434343"/>
          <w:lang w:eastAsia="ja-JP"/>
        </w:rPr>
        <w:t>) Privatrechtliche Organisation der gesetzlichen Krankenkassen. Reformperspektiven für Deutschland, Erfahrungen aus den Niederlanden (=Beiträge zum Gesundheitsmanagement, 37), Baden-Baden 2012, S. 157 - 171</w:t>
      </w:r>
    </w:p>
    <w:p w14:paraId="0F0A4DD5"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Lob und Kritik der Dogmatik: Rechtsdogmatik im Spannungsfeld von Gesetzesbindung und Funktionenorientierung, in: Gregor Kirchhof/Stefan Magen/Karsten Schneider (Hrsg.), Was weiß Dogmatik? Tübingen 2012, S. 17 - 37  </w:t>
      </w:r>
    </w:p>
    <w:p w14:paraId="1958A14C" w14:textId="140C612A"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Recht als Religion </w:t>
      </w:r>
      <w:r w:rsidR="00C50CF1">
        <w:rPr>
          <w:color w:val="434343"/>
          <w:lang w:eastAsia="ja-JP"/>
        </w:rPr>
        <w:t>–</w:t>
      </w:r>
      <w:r w:rsidRPr="00AE5B99">
        <w:rPr>
          <w:color w:val="434343"/>
          <w:lang w:eastAsia="ja-JP"/>
        </w:rPr>
        <w:t xml:space="preserve"> ein Forschungsprojekt, in: Werner Gephart (Hrsg.), Rechtsanalyse als Kulturforschung, Frankfurt a.M. 2012, S. 161 - 178</w:t>
      </w:r>
    </w:p>
    <w:p w14:paraId="7830ADEF"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Die europäischen Rettungsschirme zwischen den Mühlsteinen von EuGH und Bundesverfassungsgericht, in: Baus u.a. (Hrsg.), 60 Jahre Bundesverfassungsgericht - Grenzüberschreitende Herausforderungen für Karlsruhe, Sankt Augustin/Berlin 2012, S. 52 – 67</w:t>
      </w:r>
    </w:p>
    <w:p w14:paraId="7E8D950B"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Hanka von Aswege</w:t>
      </w:r>
      <w:r w:rsidRPr="00AE5B99">
        <w:rPr>
          <w:color w:val="434343"/>
          <w:lang w:eastAsia="ja-JP"/>
        </w:rPr>
        <w:t>) Direkte Demokratie und Staatsfinanzkrise – Abschaffung der Finanztabus als Ausweg? in: Jahrbuch für direkte Demokratie 2011, Baden-Baden 2012, S. 9 – 39</w:t>
      </w:r>
    </w:p>
    <w:p w14:paraId="189BC481"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Urteilsanmerkung zu der Entscheidung des Bundesverfassungsgerichts vom 18. Januar 2012 – 2 BvR 133/10 – Privatisierung des Maßregelvollzugs in Hessen, JZ 2012, S. 683 – 685 </w:t>
      </w:r>
    </w:p>
    <w:p w14:paraId="2ACE45EE" w14:textId="13CB0111"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Das Finanzsystem der Kommunen aus rechtlicher Sic</w:t>
      </w:r>
      <w:r w:rsidR="00654EF5">
        <w:rPr>
          <w:color w:val="434343"/>
          <w:lang w:eastAsia="ja-JP"/>
        </w:rPr>
        <w:t>ht: Steuern, Abgaben und Finanz</w:t>
      </w:r>
      <w:r w:rsidRPr="00AE5B99">
        <w:rPr>
          <w:color w:val="434343"/>
          <w:lang w:eastAsia="ja-JP"/>
        </w:rPr>
        <w:t>ausgleich, in: Joachim Wieland (Hrsg.), Kommunalsteuern und -abgaben (=Schriftenreihe der DStjG, 35), Köln 2012, 11 – 33 </w:t>
      </w:r>
    </w:p>
    <w:p w14:paraId="465D96B9"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Der Finanzvorbehalt, in: Ralf Thomas Baus/Tobias Montag (Hrsg.), Perspektiven und Grenzen „Direkter Demokratie“, Sankt Augustin/Berlin 2012, S. 71 – 78</w:t>
      </w:r>
    </w:p>
    <w:p w14:paraId="0F6C1A31"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Kompetenzverteilung und Finanzierungsverantwortung zwischen Bund, Ländern, Kommunen und Sozialverwaltungsträgern im Bereich der Pflege, in: Hans-Günter Henneke (Hrsg.), Kommunale Verantwortung für Gesundheit und Pflege (=Schriften zum deutschen und europäischen Kommunalrecht, 43), Stuttgart 2012, S. 69 – 85</w:t>
      </w:r>
    </w:p>
    <w:p w14:paraId="41357B41" w14:textId="7E1D687B" w:rsidR="00A43562" w:rsidRPr="003873AE"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val="es-ES" w:eastAsia="ja-JP"/>
        </w:rPr>
      </w:pPr>
      <w:r w:rsidRPr="003873AE">
        <w:rPr>
          <w:color w:val="434343"/>
          <w:lang w:val="es-ES" w:eastAsia="ja-JP"/>
        </w:rPr>
        <w:t>¿Puede Ordenar la Unión Europea a los estados que utilicen el Derecho Penal para Dotar de Eficacia a Determinadas normas Administrativas? Las Novedades Introducidas por el Tra-tado de Lisboa y los Límites Constitucionales que encuentra</w:t>
      </w:r>
      <w:r w:rsidR="00910BA6" w:rsidRPr="003873AE">
        <w:rPr>
          <w:color w:val="434343"/>
          <w:lang w:val="es-ES" w:eastAsia="ja-JP"/>
        </w:rPr>
        <w:t>n an Alemania, in: Revista Espa</w:t>
      </w:r>
      <w:r w:rsidRPr="003873AE">
        <w:rPr>
          <w:color w:val="434343"/>
          <w:lang w:val="es-ES" w:eastAsia="ja-JP"/>
        </w:rPr>
        <w:t>ñola de Derecho Administrativo 155 (2012), S. 53 – 65</w:t>
      </w:r>
    </w:p>
    <w:p w14:paraId="3BC641F5"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Martin Franzen und Gregor Thüsing</w:t>
      </w:r>
      <w:r w:rsidRPr="00AE5B99">
        <w:rPr>
          <w:color w:val="434343"/>
          <w:lang w:eastAsia="ja-JP"/>
        </w:rPr>
        <w:t>) Ein Gesetzentwurf zur Regelung des Arbeitskampfes im Bereich der Daseinsvorsorge, ZG 2012, S. 349 – 373 </w:t>
      </w:r>
    </w:p>
    <w:p w14:paraId="3FDD2993" w14:textId="196D32CF"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Gesetzesmaterialien aus verfassungsrechtlicher Perspektive, in: Holger Fleischer (Hrsg.), Mysterium Gesetzesmaterialien. Bedeutung und Gestaltung der Gesetzes</w:t>
      </w:r>
      <w:r w:rsidR="00122222">
        <w:rPr>
          <w:color w:val="434343"/>
          <w:lang w:eastAsia="ja-JP"/>
        </w:rPr>
        <w:t>begründung in Ver</w:t>
      </w:r>
      <w:r w:rsidRPr="00AE5B99">
        <w:rPr>
          <w:color w:val="434343"/>
          <w:lang w:eastAsia="ja-JP"/>
        </w:rPr>
        <w:t>gangenheit, Gegenwart und Zukunft, Tübingen 2013, S. 77 – 95</w:t>
      </w:r>
    </w:p>
    <w:p w14:paraId="2290B084"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Urteilsanmerkung zu den Urteilen des Bundesverwaltungsgerichts vom 11. Juli 2012 – 9 CN 1.11 und 9 CN 2.11 – kommunale Übernachtungsteuern, JZ 2013, S. 49 – 52</w:t>
      </w:r>
    </w:p>
    <w:p w14:paraId="23D06FB4"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Staatskirchenrecht – eine Begriffsbestimmung, in: Thomas Holzner/Hannes Ludyga (Hrsg.), Entwicklungstendenzen des Staatskirchen- und Religionsverfassungsrechts (=Kirchen- und Staatskirchenrecht, Bd. 15), Paderborn 2013, S. 13 – 27</w:t>
      </w:r>
    </w:p>
    <w:p w14:paraId="0E5A0544"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Die Beziehung zwischen der Theologie und anderen Fächer in staatskirchenrechtlicher </w:t>
      </w:r>
      <w:r w:rsidRPr="00AE5B99">
        <w:rPr>
          <w:color w:val="434343"/>
          <w:lang w:eastAsia="ja-JP"/>
        </w:rPr>
        <w:lastRenderedPageBreak/>
        <w:t>Sicht. Mitwirkung theologischer Fakultäten an nichttheologischen Studiengängen und Abschlüssen; Einführung nichttheologischer Studiengänge durch theologische Fakultäten, jeweils in ihren Auswirkungen auf kirchliche Mitwirkungsrechte, erscheint in: Hans-Michael Heinig/Hendrik Munsonius/Viola Vogel (Hrsg.), Organisationsrechtliche Fragen der Theologie im Kontext moderner Religionsforschung, Tübingen 2013, S. 95 – 113 </w:t>
      </w:r>
    </w:p>
    <w:p w14:paraId="4CD5204E"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Rechtsdurchsetzung in der historischen Ausdifferenzierung von öffentlichem und privatem Recht zwischen Naturrecht und Konstitutionalismus, in: Jens Eisfeld/Martin Otto/Louis Pahlow/Michael Zwanzger (Hrsg.), Naturrecht und Staat in der Neuzeit, FS für Diethelm Klippel zum 70. Geburtstag, Tübingen 2013, S. 431 – 448</w:t>
      </w:r>
    </w:p>
    <w:p w14:paraId="27453989"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Finanzverantwortung, in: Hanno Kube/Rudolf Mellinghoff/Gerd Morgenthaler/Ulrich Palm/Thomas Puhl/Christian Seiler (Hrsg.), Leitgedanken des Rechts. Paul Kirchhof zum 70. Geburtstag, Bd. 2: Staat und Bürger, Heidelberg 2013, § 137 (S. 1491 – 1498)</w:t>
      </w:r>
    </w:p>
    <w:p w14:paraId="25BD1782"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Peter Dieterich</w:t>
      </w:r>
      <w:r w:rsidRPr="00AE5B99">
        <w:rPr>
          <w:color w:val="434343"/>
          <w:lang w:eastAsia="ja-JP"/>
        </w:rPr>
        <w:t>) Einführung einer gemeinsamen Bankenaufsicht auf EU-Ebene – ein Überblick über die Rechtsprobleme, EWS 2013, S. 72 – 80</w:t>
      </w:r>
    </w:p>
    <w:p w14:paraId="623BAECA"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Was bedeutet religiös-weltanschauliche Neutralität unter dem Grundgesetz? in: Karlies Abmeier/Michael Borchard/Matthias Riemenschneider (Hrsg.), Religion im öffentlichen Raum (=Religion, Staat, Gesellschaft, Bd. 1), Paderborn 2013, S. 67 – 78</w:t>
      </w:r>
    </w:p>
    <w:p w14:paraId="26AD700C"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Pflichten zur Begründung untergesetzlicher Normen im Lichte der verwaltungs- und sozialgerichtlichen Rechtsprechung, Gesundheitsrecht 2013, S. 197 - 206</w:t>
      </w:r>
    </w:p>
    <w:p w14:paraId="66B04F14"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Verfassungsrechtlich relevante Vollzugsdefizite bei Steuerfällen mit Auslandsbezug am Beispiel von §§ 7 ff. AStG. Zugleich ein Beitrag zum räumlichen Anwendungsbereich des Leistungsfähigkeitsprinzips, StuW 2013, S. 121 - 142</w:t>
      </w:r>
    </w:p>
    <w:p w14:paraId="14D6A07D" w14:textId="0D42E34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Selbsttitulierung und öffentlich-rechtliche Vollstreckung privatrechtlicher Forderungen. Zum Ende von Vollstreckungsprivilegien in der Grenzzone zwischen zivilproz</w:t>
      </w:r>
      <w:r w:rsidR="00122222">
        <w:rPr>
          <w:color w:val="434343"/>
          <w:lang w:eastAsia="ja-JP"/>
        </w:rPr>
        <w:t>e</w:t>
      </w:r>
      <w:r w:rsidRPr="00AE5B99">
        <w:rPr>
          <w:color w:val="434343"/>
          <w:lang w:eastAsia="ja-JP"/>
        </w:rPr>
        <w:t>ssualer Zwangsvollstreckung und Verwaltungsvollstreckung (BVerfG v. 18.12.2012 – 1 BvL 8/11 und 22/11), NordÖR 2013, S. 229 - 236</w:t>
      </w:r>
    </w:p>
    <w:p w14:paraId="08D7964F"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Holger Grefrath</w:t>
      </w:r>
      <w:r w:rsidRPr="00AE5B99">
        <w:rPr>
          <w:color w:val="434343"/>
          <w:lang w:eastAsia="ja-JP"/>
        </w:rPr>
        <w:t>) Normenklarheit und Bestimmtheit der Vorschriften über die Hinzurechnungsbesteuerung als Problem des Steuervollzugs, IStR 2013, S. 477 - 484</w:t>
      </w:r>
    </w:p>
    <w:p w14:paraId="51ADFF55" w14:textId="1C19B06E"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Bepreisung der Wassernutzung als Freiheitsproblem </w:t>
      </w:r>
      <w:r w:rsidR="00C50CF1">
        <w:rPr>
          <w:color w:val="434343"/>
          <w:lang w:eastAsia="ja-JP"/>
        </w:rPr>
        <w:t>–</w:t>
      </w:r>
      <w:r w:rsidRPr="00AE5B99">
        <w:rPr>
          <w:color w:val="434343"/>
          <w:lang w:eastAsia="ja-JP"/>
        </w:rPr>
        <w:t xml:space="preserve"> am Beispiel der Einführung eines umfassenden bundeseinheitlichen Wassernutzungsentgelts, in: Wolfgang Durner/Franz-Joseph Peine/Foroud Shirvani (Hrsg.), Freiheit und Sichercheit in Deutschland und Europa. FS für Hans-Jürgen Papier zum 70. Geburtstag, Berlin 2013, S. 401 - 421</w:t>
      </w:r>
    </w:p>
    <w:p w14:paraId="1B294748"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Maßstäbe zur Verteilung der Regionalisierungsmittel für den ÖPNV nach Art. 106a GG, DVBl. 2013, S. 677 - 687</w:t>
      </w:r>
    </w:p>
    <w:p w14:paraId="19A0621C"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Verfassungsfragen der Vermögensteuer, ifo-Schnelldienst 66 (2013), Heft 14, S. 6 - 9</w:t>
      </w:r>
    </w:p>
    <w:p w14:paraId="38E0948E" w14:textId="349A6321"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Kann das Verfassungsrecht vom Verwaltungsrecht lernen? in: Claudio Franzius u.a. (Hrsg.), Beharren. Bewahren. Festschrift für Michael Kloepfer zum 70. </w:t>
      </w:r>
      <w:r w:rsidR="00654EF5">
        <w:rPr>
          <w:color w:val="434343"/>
          <w:lang w:eastAsia="ja-JP"/>
        </w:rPr>
        <w:t>Geburtstag, Berlin 2013, S. 261 –</w:t>
      </w:r>
      <w:r w:rsidRPr="00AE5B99">
        <w:rPr>
          <w:color w:val="434343"/>
          <w:lang w:eastAsia="ja-JP"/>
        </w:rPr>
        <w:t xml:space="preserve"> 276</w:t>
      </w:r>
    </w:p>
    <w:p w14:paraId="1AAFD0E6" w14:textId="047FE2A7" w:rsidR="00A43562"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Islamische Theologie an staatlichen </w:t>
      </w:r>
      <w:proofErr w:type="gramStart"/>
      <w:r w:rsidRPr="00AE5B99">
        <w:rPr>
          <w:color w:val="434343"/>
          <w:lang w:eastAsia="ja-JP"/>
        </w:rPr>
        <w:t>Hochschulen?,</w:t>
      </w:r>
      <w:proofErr w:type="gramEnd"/>
      <w:r w:rsidRPr="00AE5B99">
        <w:rPr>
          <w:color w:val="434343"/>
          <w:lang w:eastAsia="ja-JP"/>
        </w:rPr>
        <w:t xml:space="preserve"> Berliner Theologischen Zeitschrift 2013, S. 325 </w:t>
      </w:r>
      <w:r w:rsidR="005309D9">
        <w:rPr>
          <w:color w:val="434343"/>
          <w:lang w:eastAsia="ja-JP"/>
        </w:rPr>
        <w:t>–</w:t>
      </w:r>
      <w:r w:rsidRPr="00AE5B99">
        <w:rPr>
          <w:color w:val="434343"/>
          <w:lang w:eastAsia="ja-JP"/>
        </w:rPr>
        <w:t xml:space="preserve"> 348</w:t>
      </w:r>
    </w:p>
    <w:p w14:paraId="3926CB74" w14:textId="6775A5F0" w:rsidR="00A2051A" w:rsidRDefault="00A2051A"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Das deutsche Religionsverfassungsrecht im europäischen Kontext, in: Friedmann Eißler/Michael Borchardt (Hrsg.), Islam in Europa. Zum Verhältnis von Religion und Verfassung, Berlin 2013, S. 25-37 (2. Aufl. 2019)</w:t>
      </w:r>
    </w:p>
    <w:p w14:paraId="0888772A" w14:textId="73DD9FEE" w:rsidR="005309D9" w:rsidRDefault="005309D9"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lastRenderedPageBreak/>
        <w:t>(</w:t>
      </w:r>
      <w:r>
        <w:rPr>
          <w:i/>
          <w:color w:val="434343"/>
          <w:lang w:eastAsia="ja-JP"/>
        </w:rPr>
        <w:t>zusammen mit Matthias Roßbach</w:t>
      </w:r>
      <w:r>
        <w:rPr>
          <w:color w:val="434343"/>
          <w:lang w:eastAsia="ja-JP"/>
        </w:rPr>
        <w:t xml:space="preserve">) Das EEG zwischen Verfassungsrecht und Politik, Wirtschaft und Verwaltung 2014, S. 1 </w:t>
      </w:r>
      <w:r w:rsidR="00654EF5">
        <w:rPr>
          <w:color w:val="434343"/>
          <w:lang w:eastAsia="ja-JP"/>
        </w:rPr>
        <w:t>–</w:t>
      </w:r>
      <w:r>
        <w:rPr>
          <w:color w:val="434343"/>
          <w:lang w:eastAsia="ja-JP"/>
        </w:rPr>
        <w:t xml:space="preserve"> 29</w:t>
      </w:r>
    </w:p>
    <w:p w14:paraId="13A72CA2" w14:textId="432E6E9B" w:rsidR="005309D9" w:rsidRPr="00AE5B99" w:rsidRDefault="005309D9"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Historische Entwicklung von Besteuerung, StuW 2014, S. 19 – 28 </w:t>
      </w:r>
    </w:p>
    <w:p w14:paraId="65EDBBB4" w14:textId="510A2DA4"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Friederieke Engler</w:t>
      </w:r>
      <w:r w:rsidRPr="00AE5B99">
        <w:rPr>
          <w:color w:val="434343"/>
          <w:lang w:eastAsia="ja-JP"/>
        </w:rPr>
        <w:t xml:space="preserve">) Photovoltaik </w:t>
      </w:r>
      <w:r w:rsidR="00C50CF1">
        <w:rPr>
          <w:color w:val="434343"/>
          <w:lang w:eastAsia="ja-JP"/>
        </w:rPr>
        <w:t>–</w:t>
      </w:r>
      <w:r w:rsidRPr="00AE5B99">
        <w:rPr>
          <w:color w:val="434343"/>
          <w:lang w:eastAsia="ja-JP"/>
        </w:rPr>
        <w:t xml:space="preserve"> Steuerliche Fragen; Onshore-Windenergieanlagen </w:t>
      </w:r>
      <w:r w:rsidR="00C50CF1">
        <w:rPr>
          <w:color w:val="434343"/>
          <w:lang w:eastAsia="ja-JP"/>
        </w:rPr>
        <w:t>–</w:t>
      </w:r>
      <w:r w:rsidRPr="00AE5B99">
        <w:rPr>
          <w:color w:val="434343"/>
          <w:lang w:eastAsia="ja-JP"/>
        </w:rPr>
        <w:t xml:space="preserve"> Steuerliche Fragen; Offshore-Windenergieanlagen </w:t>
      </w:r>
      <w:r w:rsidR="00C50CF1">
        <w:rPr>
          <w:color w:val="434343"/>
          <w:lang w:eastAsia="ja-JP"/>
        </w:rPr>
        <w:t>–</w:t>
      </w:r>
      <w:r w:rsidRPr="00AE5B99">
        <w:rPr>
          <w:color w:val="434343"/>
          <w:lang w:eastAsia="ja-JP"/>
        </w:rPr>
        <w:t xml:space="preserve"> Steuerliche Fragen; Biogasanlagen </w:t>
      </w:r>
      <w:r w:rsidR="00C50CF1">
        <w:rPr>
          <w:color w:val="434343"/>
          <w:lang w:eastAsia="ja-JP"/>
        </w:rPr>
        <w:t>–</w:t>
      </w:r>
      <w:r w:rsidRPr="00AE5B99">
        <w:rPr>
          <w:color w:val="434343"/>
          <w:lang w:eastAsia="ja-JP"/>
        </w:rPr>
        <w:t xml:space="preserve"> Steuerliche Fragen; Contracting </w:t>
      </w:r>
      <w:r w:rsidR="00C50CF1">
        <w:rPr>
          <w:color w:val="434343"/>
          <w:lang w:eastAsia="ja-JP"/>
        </w:rPr>
        <w:t>–</w:t>
      </w:r>
      <w:r w:rsidRPr="00AE5B99">
        <w:rPr>
          <w:color w:val="434343"/>
          <w:lang w:eastAsia="ja-JP"/>
        </w:rPr>
        <w:t xml:space="preserve"> Steuerliche Fragen, in: Leif Böttcher/Kurt Faßbender/Christian Waldhoff (Hrsg.), Erneuerbare Energien in der Notar- und Gestaltungspraxis, München 2014, S. 58 - 63; 96 - 101; 118 - 130; 183 - 187; 215</w:t>
      </w:r>
    </w:p>
    <w:p w14:paraId="6C46D269" w14:textId="77777777"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Matthias Roßbach</w:t>
      </w:r>
      <w:r w:rsidRPr="00AE5B99">
        <w:rPr>
          <w:color w:val="434343"/>
          <w:lang w:eastAsia="ja-JP"/>
        </w:rPr>
        <w:t>) Verfassungsrechtliche Fragen des Förderungsmechanismus des EEG, in: Leif Böttcher/Kurt Faßbender/Christian Waldhoff (Hrsg.), Erneuerbare Energien in der Notar- und Gestaltungspraxis, München 2014, S. 217 - 245</w:t>
      </w:r>
    </w:p>
    <w:p w14:paraId="5E578A5D" w14:textId="12F88ED6" w:rsidR="00A43562" w:rsidRPr="003873AE"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val="en-US" w:eastAsia="ja-JP"/>
        </w:rPr>
      </w:pPr>
      <w:r w:rsidRPr="003873AE">
        <w:rPr>
          <w:color w:val="434343"/>
          <w:lang w:val="en-US" w:eastAsia="ja-JP"/>
        </w:rPr>
        <w:t xml:space="preserve">Federalism </w:t>
      </w:r>
      <w:r w:rsidR="00C50CF1" w:rsidRPr="003873AE">
        <w:rPr>
          <w:color w:val="434343"/>
          <w:lang w:val="en-US" w:eastAsia="ja-JP"/>
        </w:rPr>
        <w:t>–</w:t>
      </w:r>
      <w:r w:rsidRPr="003873AE">
        <w:rPr>
          <w:color w:val="434343"/>
          <w:lang w:val="en-US" w:eastAsia="ja-JP"/>
        </w:rPr>
        <w:t xml:space="preserve"> Cooperative Federalism versus Co</w:t>
      </w:r>
      <w:r w:rsidR="00122222" w:rsidRPr="003873AE">
        <w:rPr>
          <w:color w:val="434343"/>
          <w:lang w:val="en-US" w:eastAsia="ja-JP"/>
        </w:rPr>
        <w:t xml:space="preserve">mpetitive Federalism, </w:t>
      </w:r>
      <w:r w:rsidRPr="003873AE">
        <w:rPr>
          <w:color w:val="434343"/>
          <w:lang w:val="en-US" w:eastAsia="ja-JP"/>
        </w:rPr>
        <w:t>in: Hermann Pünder/Christian Waldhoff (ed.), Debates in German Public Law, Oxford 2014, p. 117 - 130</w:t>
      </w:r>
    </w:p>
    <w:p w14:paraId="18D2BAEC" w14:textId="7BB6A6B9" w:rsidR="005309D9" w:rsidRDefault="00073E91"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FE0F52">
        <w:rPr>
          <w:color w:val="434343"/>
          <w:lang w:val="en-US" w:eastAsia="ja-JP"/>
        </w:rPr>
        <w:t xml:space="preserve"> </w:t>
      </w:r>
      <w:r w:rsidR="00A43562" w:rsidRPr="00AE5B99">
        <w:rPr>
          <w:color w:val="434343"/>
          <w:lang w:eastAsia="ja-JP"/>
        </w:rPr>
        <w:t>(</w:t>
      </w:r>
      <w:r w:rsidR="00A43562" w:rsidRPr="00AE5B99">
        <w:rPr>
          <w:i/>
          <w:iCs/>
          <w:color w:val="434343"/>
          <w:lang w:eastAsia="ja-JP"/>
        </w:rPr>
        <w:t>zusammen mit Jelena von Achenbach</w:t>
      </w:r>
      <w:r w:rsidR="00A43562" w:rsidRPr="00AE5B99">
        <w:rPr>
          <w:color w:val="434343"/>
          <w:lang w:eastAsia="ja-JP"/>
        </w:rPr>
        <w:t>) Erfahrungen</w:t>
      </w:r>
      <w:r w:rsidR="005309D9">
        <w:rPr>
          <w:color w:val="434343"/>
          <w:lang w:eastAsia="ja-JP"/>
        </w:rPr>
        <w:t xml:space="preserve"> mit Formen der „asymmetrischen“</w:t>
      </w:r>
      <w:r w:rsidR="00A43562" w:rsidRPr="00AE5B99">
        <w:rPr>
          <w:color w:val="434343"/>
          <w:lang w:eastAsia="ja-JP"/>
        </w:rPr>
        <w:t xml:space="preserve"> Föderalisierung </w:t>
      </w:r>
      <w:r w:rsidR="002B6CFF">
        <w:rPr>
          <w:color w:val="434343"/>
          <w:lang w:eastAsia="ja-JP"/>
        </w:rPr>
        <w:t>–</w:t>
      </w:r>
      <w:r w:rsidR="00A43562" w:rsidRPr="00AE5B99">
        <w:rPr>
          <w:color w:val="434343"/>
          <w:lang w:eastAsia="ja-JP"/>
        </w:rPr>
        <w:t xml:space="preserve"> Vorbild für die Türkei? </w:t>
      </w:r>
      <w:r w:rsidR="005309D9">
        <w:rPr>
          <w:color w:val="434343"/>
          <w:lang w:eastAsia="ja-JP"/>
        </w:rPr>
        <w:t>in: A</w:t>
      </w:r>
      <w:r w:rsidR="00A43562" w:rsidRPr="00AE5B99">
        <w:rPr>
          <w:color w:val="434343"/>
          <w:lang w:eastAsia="ja-JP"/>
        </w:rPr>
        <w:t>rno Scherzberg</w:t>
      </w:r>
      <w:r w:rsidR="005309D9">
        <w:rPr>
          <w:color w:val="434343"/>
          <w:lang w:eastAsia="ja-JP"/>
        </w:rPr>
        <w:t xml:space="preserve">/Osman Can/Ilyas Dogan (Hrsg.), Der Schutz ethnischer Minderheiten in der Türkei und die Dezentralisation der Staatsorganisation (=Deutsch-Türkisches Forum für Staatsrechtslehre, 13), </w:t>
      </w:r>
      <w:r w:rsidR="00A43562" w:rsidRPr="00AE5B99">
        <w:rPr>
          <w:color w:val="434343"/>
          <w:lang w:eastAsia="ja-JP"/>
        </w:rPr>
        <w:t>Münster</w:t>
      </w:r>
      <w:r w:rsidR="005309D9">
        <w:rPr>
          <w:color w:val="434343"/>
          <w:lang w:eastAsia="ja-JP"/>
        </w:rPr>
        <w:t xml:space="preserve"> 2014, S. 123 – 151</w:t>
      </w:r>
    </w:p>
    <w:p w14:paraId="13431050" w14:textId="523555D3" w:rsidR="00A43562" w:rsidRPr="00AE5B99" w:rsidRDefault="005309D9"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Urteilsanmerkung zum Urteil des Zweiten Senats des Bundesverfassungsgerichts vom 28. Januar 2014 – Filmförderung, JZ 2014, S. 407 – 411  </w:t>
      </w:r>
    </w:p>
    <w:p w14:paraId="0ED595D2" w14:textId="7B94B9C1" w:rsidR="00A43562" w:rsidRPr="00AE5B99"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Die Staatlichkeit der deutschen Notariatsverfassung als Grundlage des Systems vorsorgende</w:t>
      </w:r>
      <w:r w:rsidR="005309D9">
        <w:rPr>
          <w:color w:val="434343"/>
          <w:lang w:eastAsia="ja-JP"/>
        </w:rPr>
        <w:t xml:space="preserve">r Zivilrechtspflege, </w:t>
      </w:r>
      <w:r w:rsidRPr="00AE5B99">
        <w:rPr>
          <w:color w:val="434343"/>
          <w:lang w:eastAsia="ja-JP"/>
        </w:rPr>
        <w:t>ZZP 2014</w:t>
      </w:r>
      <w:r w:rsidR="005309D9">
        <w:rPr>
          <w:color w:val="434343"/>
          <w:lang w:eastAsia="ja-JP"/>
        </w:rPr>
        <w:t xml:space="preserve">, S. 3 – 27 </w:t>
      </w:r>
    </w:p>
    <w:p w14:paraId="12EC38EE" w14:textId="77777777" w:rsidR="00911E8D" w:rsidRDefault="00A4356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Bürokrati</w:t>
      </w:r>
      <w:r w:rsidR="00C6486E">
        <w:rPr>
          <w:color w:val="434343"/>
          <w:lang w:eastAsia="ja-JP"/>
        </w:rPr>
        <w:t xml:space="preserve">efinanzierung – eine Skizze, </w:t>
      </w:r>
      <w:r w:rsidR="00911E8D">
        <w:rPr>
          <w:color w:val="434343"/>
          <w:lang w:eastAsia="ja-JP"/>
        </w:rPr>
        <w:t>in: Peter Friedrich Bultmann u.a. (Hrsg.), Allgemeines Verwaltungsrecht. Festschrift für Ulrich Battis zum 70. Geburtstag, München 2014, S. 479 – 496</w:t>
      </w:r>
    </w:p>
    <w:p w14:paraId="3793DA0B" w14:textId="77777777" w:rsidR="00911E8D" w:rsidRDefault="00911E8D"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Einführung: Verfassungsfragen des Arbeitskampfes, in: Christian Waldhoff/Gregor Thüsing (Hrsg.), Verfassungsfragen des Arbeitskampfes, Baden-Baden 2014, S. 9 – 14</w:t>
      </w:r>
    </w:p>
    <w:p w14:paraId="5BA48B80" w14:textId="77777777" w:rsidR="00911E8D" w:rsidRDefault="00911E8D"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Einführung, in: Christian Waldhoff (Hrsg.), Gnade vor Recht – Gnade durch Recht? Berlin 2014, S. 7 – 10 </w:t>
      </w:r>
    </w:p>
    <w:p w14:paraId="184D6F77" w14:textId="3EBFC4DE" w:rsidR="00654EF5" w:rsidRPr="00654EF5" w:rsidRDefault="00911E8D"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Hat Gnade im demokratischen Verfassungsstaat (noch) eine Daseinsberechtigung? in: Christian Waldhoff (Hrsg.), Gnade vor Recht – Gnade durch Recht? Berlin 2014, S. 131 – 149   </w:t>
      </w:r>
      <w:r w:rsidR="00C6486E">
        <w:rPr>
          <w:color w:val="434343"/>
          <w:lang w:eastAsia="ja-JP"/>
        </w:rPr>
        <w:t xml:space="preserve"> </w:t>
      </w:r>
    </w:p>
    <w:p w14:paraId="4653BBC3" w14:textId="2721950B" w:rsidR="00B354BF" w:rsidRPr="003873AE" w:rsidRDefault="00237E3F" w:rsidP="00CE4EBA">
      <w:pPr>
        <w:widowControl w:val="0"/>
        <w:numPr>
          <w:ilvl w:val="0"/>
          <w:numId w:val="5"/>
        </w:numPr>
        <w:tabs>
          <w:tab w:val="left" w:pos="220"/>
          <w:tab w:val="left" w:pos="720"/>
        </w:tabs>
        <w:autoSpaceDE w:val="0"/>
        <w:autoSpaceDN w:val="0"/>
        <w:adjustRightInd w:val="0"/>
        <w:spacing w:after="80"/>
        <w:ind w:hanging="720"/>
        <w:rPr>
          <w:color w:val="434343"/>
          <w:lang w:val="en-US" w:eastAsia="ja-JP"/>
        </w:rPr>
      </w:pPr>
      <w:r w:rsidRPr="003873AE">
        <w:rPr>
          <w:color w:val="434343"/>
          <w:lang w:val="en-US" w:eastAsia="ja-JP"/>
        </w:rPr>
        <w:t>No representation without taxation? St</w:t>
      </w:r>
      <w:r w:rsidR="00913F87" w:rsidRPr="003873AE">
        <w:rPr>
          <w:color w:val="434343"/>
          <w:lang w:val="en-US" w:eastAsia="ja-JP"/>
        </w:rPr>
        <w:t>reng</w:t>
      </w:r>
      <w:r w:rsidRPr="003873AE">
        <w:rPr>
          <w:color w:val="434343"/>
          <w:lang w:val="en-US" w:eastAsia="ja-JP"/>
        </w:rPr>
        <w:t>t</w:t>
      </w:r>
      <w:r w:rsidR="00913F87" w:rsidRPr="003873AE">
        <w:rPr>
          <w:color w:val="434343"/>
          <w:lang w:val="en-US" w:eastAsia="ja-JP"/>
        </w:rPr>
        <w:t>h</w:t>
      </w:r>
      <w:r w:rsidRPr="003873AE">
        <w:rPr>
          <w:color w:val="434343"/>
          <w:lang w:val="en-US" w:eastAsia="ja-JP"/>
        </w:rPr>
        <w:t>ening the European Parliament with an EU-tax? What are European taxes? in: Federal Ministry of Finance (ed.), Workshop on the Future of EU-Finances in Berlin, 10th of July 2014, Berlin 2014, p. 14 – 16</w:t>
      </w:r>
    </w:p>
    <w:p w14:paraId="45A232AA" w14:textId="77777777" w:rsidR="00A05ECF" w:rsidRDefault="00A05ECF"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Gerhard Anschütz (1867 – 1948), in: Peter Häberle/Michael Kilian/Heinrich Amadeus Wolff (Hrsg.), Staatsrechtslehrer des 20. Jahrhunderts, </w:t>
      </w:r>
      <w:r>
        <w:rPr>
          <w:color w:val="434343"/>
          <w:lang w:eastAsia="ja-JP"/>
        </w:rPr>
        <w:t>Berlin</w:t>
      </w:r>
      <w:r w:rsidRPr="00AE5B99">
        <w:rPr>
          <w:color w:val="434343"/>
          <w:lang w:eastAsia="ja-JP"/>
        </w:rPr>
        <w:t xml:space="preserve"> 2014</w:t>
      </w:r>
      <w:r>
        <w:rPr>
          <w:color w:val="434343"/>
          <w:lang w:eastAsia="ja-JP"/>
        </w:rPr>
        <w:t xml:space="preserve">, S. 92 – 109 </w:t>
      </w:r>
    </w:p>
    <w:p w14:paraId="054476A6" w14:textId="45B71437" w:rsidR="00237E3F" w:rsidRPr="00237E3F" w:rsidRDefault="00B354BF"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Schwarze Kassen bei der Kirche? Haushalt und Finanzen in der katholischen und evangelischen </w:t>
      </w:r>
      <w:r w:rsidR="002B6CFF">
        <w:rPr>
          <w:color w:val="434343"/>
          <w:lang w:eastAsia="ja-JP"/>
        </w:rPr>
        <w:t xml:space="preserve">Kirche, </w:t>
      </w:r>
      <w:r>
        <w:rPr>
          <w:color w:val="434343"/>
          <w:lang w:eastAsia="ja-JP"/>
        </w:rPr>
        <w:t>KuR 2014</w:t>
      </w:r>
      <w:r w:rsidR="002B6CFF">
        <w:rPr>
          <w:color w:val="434343"/>
          <w:lang w:eastAsia="ja-JP"/>
        </w:rPr>
        <w:t xml:space="preserve">, S. 171 – 187 </w:t>
      </w:r>
      <w:r w:rsidR="00237E3F" w:rsidRPr="00237E3F">
        <w:rPr>
          <w:color w:val="434343"/>
          <w:lang w:eastAsia="ja-JP"/>
        </w:rPr>
        <w:t xml:space="preserve"> </w:t>
      </w:r>
    </w:p>
    <w:p w14:paraId="5DF04766" w14:textId="40AFB5A4" w:rsidR="00654EF5" w:rsidRDefault="00057B1C"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Vorbemerkung C: </w:t>
      </w:r>
      <w:r w:rsidR="00794F69">
        <w:rPr>
          <w:color w:val="434343"/>
          <w:lang w:eastAsia="ja-JP"/>
        </w:rPr>
        <w:t>Rechtsquellen des parlamentarischen</w:t>
      </w:r>
      <w:r>
        <w:rPr>
          <w:color w:val="434343"/>
          <w:lang w:eastAsia="ja-JP"/>
        </w:rPr>
        <w:t xml:space="preserve"> Untersuchungsrechts, </w:t>
      </w:r>
      <w:r w:rsidR="00794F69">
        <w:rPr>
          <w:color w:val="434343"/>
          <w:lang w:eastAsia="ja-JP"/>
        </w:rPr>
        <w:t xml:space="preserve">in: </w:t>
      </w:r>
      <w:r w:rsidR="009C7A05">
        <w:rPr>
          <w:color w:val="434343"/>
          <w:lang w:eastAsia="ja-JP"/>
        </w:rPr>
        <w:t xml:space="preserve">Christian </w:t>
      </w:r>
      <w:r w:rsidR="00794F69">
        <w:rPr>
          <w:color w:val="434343"/>
          <w:lang w:eastAsia="ja-JP"/>
        </w:rPr>
        <w:t>Waldhoff/</w:t>
      </w:r>
      <w:r w:rsidR="009C7A05">
        <w:rPr>
          <w:color w:val="434343"/>
          <w:lang w:eastAsia="ja-JP"/>
        </w:rPr>
        <w:t xml:space="preserve">Klaus F. </w:t>
      </w:r>
      <w:r w:rsidR="00794F69">
        <w:rPr>
          <w:color w:val="434343"/>
          <w:lang w:eastAsia="ja-JP"/>
        </w:rPr>
        <w:t>Gärdit</w:t>
      </w:r>
      <w:r w:rsidR="00BB75D9">
        <w:rPr>
          <w:color w:val="434343"/>
          <w:lang w:eastAsia="ja-JP"/>
        </w:rPr>
        <w:t xml:space="preserve">z (Hrsg.), PUAG. Kommentar, </w:t>
      </w:r>
      <w:r>
        <w:rPr>
          <w:color w:val="434343"/>
          <w:lang w:eastAsia="ja-JP"/>
        </w:rPr>
        <w:t xml:space="preserve">München </w:t>
      </w:r>
      <w:r w:rsidR="00BB75D9">
        <w:rPr>
          <w:color w:val="434343"/>
          <w:lang w:eastAsia="ja-JP"/>
        </w:rPr>
        <w:t>2015</w:t>
      </w:r>
      <w:r>
        <w:rPr>
          <w:color w:val="434343"/>
          <w:lang w:eastAsia="ja-JP"/>
        </w:rPr>
        <w:t xml:space="preserve">, S. 21 – 26 </w:t>
      </w:r>
      <w:r w:rsidR="00654EF5">
        <w:rPr>
          <w:color w:val="434343"/>
          <w:lang w:eastAsia="ja-JP"/>
        </w:rPr>
        <w:t xml:space="preserve"> </w:t>
      </w:r>
    </w:p>
    <w:p w14:paraId="080B4CC6" w14:textId="6FD1AA24" w:rsidR="00C76F0B" w:rsidRDefault="00C76F0B"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Rechtsprechungsanalyse Steuerrecht und Verfassungsrecht. Bericht über ausgewählte </w:t>
      </w:r>
      <w:r>
        <w:rPr>
          <w:color w:val="434343"/>
          <w:lang w:eastAsia="ja-JP"/>
        </w:rPr>
        <w:lastRenderedPageBreak/>
        <w:t>Entscheidungen des Bundesverfassungsgerichts zu verfassungsrechtlichen Vorgaben für die Besteuerung aus den Jahren 2008 bis 2014, Die Verwal</w:t>
      </w:r>
      <w:r w:rsidR="00910BA6">
        <w:rPr>
          <w:color w:val="434343"/>
          <w:lang w:eastAsia="ja-JP"/>
        </w:rPr>
        <w:t>tung</w:t>
      </w:r>
      <w:r>
        <w:rPr>
          <w:color w:val="434343"/>
          <w:lang w:eastAsia="ja-JP"/>
        </w:rPr>
        <w:t xml:space="preserve"> </w:t>
      </w:r>
      <w:r w:rsidR="00910BA6">
        <w:rPr>
          <w:color w:val="434343"/>
          <w:lang w:eastAsia="ja-JP"/>
        </w:rPr>
        <w:t>48 (</w:t>
      </w:r>
      <w:r>
        <w:rPr>
          <w:color w:val="434343"/>
          <w:lang w:eastAsia="ja-JP"/>
        </w:rPr>
        <w:t>2015</w:t>
      </w:r>
      <w:r w:rsidR="00910BA6">
        <w:rPr>
          <w:color w:val="434343"/>
          <w:lang w:eastAsia="ja-JP"/>
        </w:rPr>
        <w:t xml:space="preserve">), S. 85 – 113  </w:t>
      </w:r>
    </w:p>
    <w:p w14:paraId="4AD707E5" w14:textId="77777777" w:rsidR="00C565C5" w:rsidRDefault="00C565C5"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Das Jahrbuch des öffentlichen Rechts der Gegenwart 1907 bis 2014 – unter besonderer Berücksichtigung seiner Entstehung, JöR 63 n.F. (2015), S. 1 – 40 </w:t>
      </w:r>
    </w:p>
    <w:p w14:paraId="58C5106F" w14:textId="282E16C1" w:rsidR="00C565C5" w:rsidRDefault="00C565C5"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Die rechtlichen Grundlagen der Seelsorge in der Bundespolizei, in: Helmut Blanke/Hans-Jochen Jaschke/Karl-Hinrich Manzke/Jordanus von Sachsen Brand (Hrsg.), 50 Jahre Seelsorgevereinbarung in Bundesgrenzschutz und Bundespolizei. Religiöses Bekenntnis im neutralen Staat, Göttingen 2015, S. 43 – 53</w:t>
      </w:r>
    </w:p>
    <w:p w14:paraId="7C7B96F8" w14:textId="77777777" w:rsidR="00C565C5" w:rsidRPr="00AE3939" w:rsidRDefault="00C565C5"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Finansovoe vyravnivanie v Federativnoj Respublike Germanii i ego reforma (Der bundesstaatliche Finanzausgleich in Deutschland und seine Reform), Sravnitel’noe konstitucionnoe obozrenie (Vergleichende Verfassungsumschau) 105 (2015), S. 11 – 21 </w:t>
      </w:r>
    </w:p>
    <w:p w14:paraId="03AE83DE" w14:textId="675306F2" w:rsidR="005B5545" w:rsidRDefault="005B5545"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Die demokratische Kontrolle der Regierung durch das Parlament im deutschen Verfassungsrecht (in japanischer Sprache), in: Research and Legislative Reference Bureau Natinoal Diet Library (ed.), Parliamentary Control over Governmental Activities – Parliamentary Reservation (Parlamentsvorbehalt) in Germany, Tokyo 2015, S. 1 – 22 </w:t>
      </w:r>
    </w:p>
    <w:p w14:paraId="31BA64CC" w14:textId="5FC76485" w:rsidR="00C060D2" w:rsidRDefault="00C060D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w:t>
      </w:r>
      <w:r>
        <w:rPr>
          <w:i/>
          <w:color w:val="434343"/>
          <w:lang w:eastAsia="ja-JP"/>
        </w:rPr>
        <w:t>zusammen mit Ekkehart Reimer</w:t>
      </w:r>
      <w:r>
        <w:rPr>
          <w:color w:val="434343"/>
          <w:lang w:eastAsia="ja-JP"/>
        </w:rPr>
        <w:t>) Societas Unius Personae und deutsches Steuerrecht. Vorschlag der EU-Kommission für eine Richtlinie über Gesellschaften mit beschränkter Haftung mit einem einzigen Gesellschafter, DB 2015, S. 2106 – 2113</w:t>
      </w:r>
    </w:p>
    <w:p w14:paraId="7F29AD60" w14:textId="27D317B3" w:rsidR="00AD202A" w:rsidRDefault="00AD202A"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Entscheidungsanmerkung zu BGH v. 20.7.2015 – keine Inlandsbeurkundung durch ausländischen Notar, NJW 2015, S. 3039</w:t>
      </w:r>
    </w:p>
    <w:p w14:paraId="0B153C3B" w14:textId="77777777" w:rsidR="00DF688A" w:rsidRDefault="00061277"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Hans Kelsen no Gikai-Daihyo-Riron to doitsu niokeru Giin no Chii</w:t>
      </w:r>
      <w:r w:rsidR="008D0778">
        <w:rPr>
          <w:color w:val="434343"/>
          <w:lang w:eastAsia="ja-JP"/>
        </w:rPr>
        <w:t xml:space="preserve"> wo meguru saishin no Mondai (Hans Kelsen und aktuelle Probleme um das Parlamentsmandat in der deutschen verfassungsrechtlichen Diskussion</w:t>
      </w:r>
      <w:r>
        <w:rPr>
          <w:color w:val="434343"/>
          <w:lang w:eastAsia="ja-JP"/>
        </w:rPr>
        <w:t>), in: Jichi-Kenkyu (Die Selbstverwaltung) 91 (2015), Heft 10, S. 40 – 60</w:t>
      </w:r>
    </w:p>
    <w:p w14:paraId="21CF711E" w14:textId="6E4AA3B0" w:rsidR="00061277" w:rsidRPr="00DF688A" w:rsidRDefault="00DF688A"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DF688A">
        <w:rPr>
          <w:color w:val="434343"/>
          <w:lang w:eastAsia="ja-JP"/>
        </w:rPr>
        <w:t xml:space="preserve">Staatsleistungen an die Kirchen – Gerechtfertigtes Institut oder überholtes </w:t>
      </w:r>
      <w:proofErr w:type="gramStart"/>
      <w:r w:rsidRPr="00DF688A">
        <w:rPr>
          <w:color w:val="434343"/>
          <w:lang w:eastAsia="ja-JP"/>
        </w:rPr>
        <w:t>Relikt</w:t>
      </w:r>
      <w:r>
        <w:rPr>
          <w:color w:val="434343"/>
          <w:lang w:eastAsia="ja-JP"/>
        </w:rPr>
        <w:t>?</w:t>
      </w:r>
      <w:r w:rsidRPr="00DF688A">
        <w:rPr>
          <w:color w:val="434343"/>
          <w:lang w:eastAsia="ja-JP"/>
        </w:rPr>
        <w:t>,</w:t>
      </w:r>
      <w:proofErr w:type="gramEnd"/>
      <w:r w:rsidRPr="00DF688A">
        <w:rPr>
          <w:color w:val="434343"/>
          <w:lang w:eastAsia="ja-JP"/>
        </w:rPr>
        <w:t xml:space="preserve"> </w:t>
      </w:r>
      <w:r>
        <w:rPr>
          <w:color w:val="434343"/>
          <w:lang w:eastAsia="ja-JP"/>
        </w:rPr>
        <w:t xml:space="preserve">in: Karlies Abmeier/Petra Bahr/Thomas Volk </w:t>
      </w:r>
      <w:r w:rsidR="00C15B2D">
        <w:rPr>
          <w:color w:val="434343"/>
          <w:lang w:eastAsia="ja-JP"/>
        </w:rPr>
        <w:t>(Hrsg.), Monitor Religion und Po</w:t>
      </w:r>
      <w:r>
        <w:rPr>
          <w:color w:val="434343"/>
          <w:lang w:eastAsia="ja-JP"/>
        </w:rPr>
        <w:t xml:space="preserve">litik. Ausgewählte Beiträge 2015, Sankt Augustin 2015, S. 81 – 92 (zugleich </w:t>
      </w:r>
      <w:r w:rsidRPr="00DF688A">
        <w:rPr>
          <w:color w:val="434343"/>
          <w:lang w:eastAsia="ja-JP"/>
        </w:rPr>
        <w:t xml:space="preserve">elektronisch publiziert: </w:t>
      </w:r>
      <w:proofErr w:type="gramStart"/>
      <w:r w:rsidRPr="00DF688A">
        <w:rPr>
          <w:color w:val="434343"/>
          <w:lang w:eastAsia="ja-JP"/>
        </w:rPr>
        <w:t>Ko</w:t>
      </w:r>
      <w:r w:rsidR="00C15B2D">
        <w:rPr>
          <w:color w:val="434343"/>
          <w:lang w:eastAsia="ja-JP"/>
        </w:rPr>
        <w:t>nrad Adenauer-Stiftung</w:t>
      </w:r>
      <w:proofErr w:type="gramEnd"/>
      <w:r w:rsidR="00C15B2D">
        <w:rPr>
          <w:color w:val="434343"/>
          <w:lang w:eastAsia="ja-JP"/>
        </w:rPr>
        <w:t>, Hauptab</w:t>
      </w:r>
      <w:r w:rsidRPr="00DF688A">
        <w:rPr>
          <w:color w:val="434343"/>
          <w:lang w:eastAsia="ja-JP"/>
        </w:rPr>
        <w:t>t</w:t>
      </w:r>
      <w:r w:rsidR="00C15B2D">
        <w:rPr>
          <w:color w:val="434343"/>
          <w:lang w:eastAsia="ja-JP"/>
        </w:rPr>
        <w:t>e</w:t>
      </w:r>
      <w:r w:rsidRPr="00DF688A">
        <w:rPr>
          <w:color w:val="434343"/>
          <w:lang w:eastAsia="ja-JP"/>
        </w:rPr>
        <w:t>ilung Politik und Beratung (Hrsg.), Monitor Religion und Politik, 23. November 2015</w:t>
      </w:r>
      <w:r>
        <w:rPr>
          <w:color w:val="434343"/>
          <w:lang w:eastAsia="ja-JP"/>
        </w:rPr>
        <w:t>)</w:t>
      </w:r>
      <w:r w:rsidR="00061277" w:rsidRPr="00DF688A">
        <w:rPr>
          <w:color w:val="434343"/>
          <w:lang w:eastAsia="ja-JP"/>
        </w:rPr>
        <w:t xml:space="preserve"> </w:t>
      </w:r>
    </w:p>
    <w:p w14:paraId="3CBE9570" w14:textId="086E8E04" w:rsidR="00AE3939" w:rsidRDefault="00AE3939"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C565C5">
        <w:rPr>
          <w:color w:val="434343"/>
          <w:lang w:eastAsia="ja-JP"/>
        </w:rPr>
        <w:t>Der Wahrheitsanspruch der Religion und die R</w:t>
      </w:r>
      <w:r w:rsidR="00E0220D">
        <w:rPr>
          <w:color w:val="434343"/>
          <w:lang w:eastAsia="ja-JP"/>
        </w:rPr>
        <w:t>elativität des Rechts,</w:t>
      </w:r>
      <w:r w:rsidRPr="00C565C5">
        <w:rPr>
          <w:color w:val="434343"/>
          <w:lang w:eastAsia="ja-JP"/>
        </w:rPr>
        <w:t xml:space="preserve"> in: Werner Gephart/Jan Christoph Suntrup (Hrsg.), Rechtsanalyse als Kulturforschung II, Frankfurt a.M. 2015, S. 223 – 241</w:t>
      </w:r>
    </w:p>
    <w:p w14:paraId="3FE59E04" w14:textId="3B8ED05D" w:rsidR="00DF688A" w:rsidRPr="00DF688A" w:rsidRDefault="00DF688A"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Überforderung nationaler Parlamente durch die Globalisierung? Grenzen am Beispiel der Budgetverantwortung, in: Claudio Franzius/Franz C. Mayer/Jürgen Neyer (Hrsg.), Modelle des Parlamentarismus im 21. Jahrhundert. Neue Ordnungen von Recht und Politik, Baden-Baden 2015, S. 109 – 133 </w:t>
      </w:r>
    </w:p>
    <w:p w14:paraId="260E4EFF" w14:textId="0D8112D6" w:rsidR="00374391" w:rsidRPr="00374391" w:rsidRDefault="00374391"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B74BC9">
        <w:rPr>
          <w:color w:val="434343"/>
          <w:lang w:eastAsia="ja-JP"/>
        </w:rPr>
        <w:t>Gnade vor Recht – Gnad</w:t>
      </w:r>
      <w:r>
        <w:rPr>
          <w:color w:val="434343"/>
          <w:lang w:eastAsia="ja-JP"/>
        </w:rPr>
        <w:t>e durch Recht? in: Informationes Theologiae Europae. Internationales</w:t>
      </w:r>
      <w:r w:rsidRPr="00B74BC9">
        <w:rPr>
          <w:color w:val="434343"/>
          <w:lang w:eastAsia="ja-JP"/>
        </w:rPr>
        <w:t xml:space="preserve"> </w:t>
      </w:r>
      <w:r>
        <w:rPr>
          <w:color w:val="434343"/>
          <w:lang w:eastAsia="ja-JP"/>
        </w:rPr>
        <w:t>ö</w:t>
      </w:r>
      <w:r w:rsidRPr="00B74BC9">
        <w:rPr>
          <w:color w:val="434343"/>
          <w:lang w:eastAsia="ja-JP"/>
        </w:rPr>
        <w:t>kumeni</w:t>
      </w:r>
      <w:r>
        <w:rPr>
          <w:color w:val="434343"/>
          <w:lang w:eastAsia="ja-JP"/>
        </w:rPr>
        <w:t>sches</w:t>
      </w:r>
      <w:r w:rsidRPr="00B74BC9">
        <w:rPr>
          <w:color w:val="434343"/>
          <w:lang w:eastAsia="ja-JP"/>
        </w:rPr>
        <w:t xml:space="preserve"> Jahrbuch für Theologie</w:t>
      </w:r>
      <w:r>
        <w:rPr>
          <w:color w:val="434343"/>
          <w:lang w:eastAsia="ja-JP"/>
        </w:rPr>
        <w:t xml:space="preserve"> 19 (2015), S. 283 – 295 </w:t>
      </w:r>
    </w:p>
    <w:p w14:paraId="5050C2BF" w14:textId="77777777" w:rsidR="00581839" w:rsidRDefault="00472838"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472838">
        <w:rPr>
          <w:color w:val="434343"/>
          <w:lang w:eastAsia="ja-JP"/>
        </w:rPr>
        <w:t xml:space="preserve">Rechtliche Grenzen und Möglichkeiten für eine größere Einnahmenautonomie der EU, in: Thiess Büttner/Michael Thöne (Hrsg.), Die Zukunft der EU-Finanzen. Arbeitsberichte im Rahmen des BMF-Forschungsvorhabens fe 1/14 (=FiFo-Berichte, 22), Köln 2016, S. 169 – 180 </w:t>
      </w:r>
    </w:p>
    <w:p w14:paraId="68F59C0D" w14:textId="6091EBF4" w:rsidR="009F0226" w:rsidRPr="003873AE" w:rsidRDefault="00472838" w:rsidP="00CE4EBA">
      <w:pPr>
        <w:widowControl w:val="0"/>
        <w:numPr>
          <w:ilvl w:val="0"/>
          <w:numId w:val="5"/>
        </w:numPr>
        <w:tabs>
          <w:tab w:val="left" w:pos="220"/>
          <w:tab w:val="left" w:pos="720"/>
        </w:tabs>
        <w:autoSpaceDE w:val="0"/>
        <w:autoSpaceDN w:val="0"/>
        <w:adjustRightInd w:val="0"/>
        <w:spacing w:after="80"/>
        <w:ind w:hanging="720"/>
        <w:rPr>
          <w:color w:val="434343"/>
          <w:lang w:val="en-US" w:eastAsia="ja-JP"/>
        </w:rPr>
      </w:pPr>
      <w:r w:rsidRPr="003873AE">
        <w:rPr>
          <w:color w:val="434343"/>
          <w:lang w:val="en-US" w:eastAsia="ja-JP"/>
        </w:rPr>
        <w:t xml:space="preserve">in englischsprachiger Übersetzung: </w:t>
      </w:r>
      <w:r w:rsidR="00581839" w:rsidRPr="003873AE">
        <w:rPr>
          <w:color w:val="434343"/>
          <w:lang w:val="en-US" w:eastAsia="ja-JP"/>
        </w:rPr>
        <w:t>Legal Restrictions and P</w:t>
      </w:r>
      <w:r w:rsidR="009F0226" w:rsidRPr="003873AE">
        <w:rPr>
          <w:color w:val="434343"/>
          <w:lang w:val="en-US" w:eastAsia="ja-JP"/>
        </w:rPr>
        <w:t xml:space="preserve">ossibilities </w:t>
      </w:r>
      <w:r w:rsidR="00581839" w:rsidRPr="003873AE">
        <w:rPr>
          <w:color w:val="434343"/>
          <w:lang w:val="en-US" w:eastAsia="ja-JP"/>
        </w:rPr>
        <w:t>for Greater R</w:t>
      </w:r>
      <w:r w:rsidR="009F0226" w:rsidRPr="003873AE">
        <w:rPr>
          <w:color w:val="434343"/>
          <w:lang w:val="en-US" w:eastAsia="ja-JP"/>
        </w:rPr>
        <w:t>e</w:t>
      </w:r>
      <w:r w:rsidR="00581839" w:rsidRPr="003873AE">
        <w:rPr>
          <w:color w:val="434343"/>
          <w:lang w:val="en-US" w:eastAsia="ja-JP"/>
        </w:rPr>
        <w:t>venue Autonomy of</w:t>
      </w:r>
      <w:r w:rsidR="009F0226" w:rsidRPr="003873AE">
        <w:rPr>
          <w:color w:val="434343"/>
          <w:lang w:val="en-US" w:eastAsia="ja-JP"/>
        </w:rPr>
        <w:t xml:space="preserve"> the EU, in: Thiess Büttner/Michael Thöne (ed.), Th</w:t>
      </w:r>
      <w:r w:rsidR="00581839" w:rsidRPr="003873AE">
        <w:rPr>
          <w:color w:val="434343"/>
          <w:lang w:val="en-US" w:eastAsia="ja-JP"/>
        </w:rPr>
        <w:t>e Future of EU-Finances, Tübingen</w:t>
      </w:r>
      <w:r w:rsidR="009F0226" w:rsidRPr="003873AE">
        <w:rPr>
          <w:color w:val="434343"/>
          <w:lang w:val="en-US" w:eastAsia="ja-JP"/>
        </w:rPr>
        <w:t xml:space="preserve"> 2016, p.</w:t>
      </w:r>
      <w:r w:rsidR="007F0E5F" w:rsidRPr="003873AE">
        <w:rPr>
          <w:color w:val="434343"/>
          <w:lang w:val="en-US" w:eastAsia="ja-JP"/>
        </w:rPr>
        <w:t xml:space="preserve"> </w:t>
      </w:r>
      <w:r w:rsidR="00581839" w:rsidRPr="003873AE">
        <w:rPr>
          <w:color w:val="434343"/>
          <w:lang w:val="en-US" w:eastAsia="ja-JP"/>
        </w:rPr>
        <w:t xml:space="preserve">151 – 162 </w:t>
      </w:r>
      <w:r w:rsidR="009F0226" w:rsidRPr="003873AE">
        <w:rPr>
          <w:color w:val="434343"/>
          <w:lang w:val="en-US" w:eastAsia="ja-JP"/>
        </w:rPr>
        <w:t xml:space="preserve"> </w:t>
      </w:r>
    </w:p>
    <w:p w14:paraId="126FD30F" w14:textId="5C894298" w:rsidR="005727EE" w:rsidRDefault="009F0226"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lastRenderedPageBreak/>
        <w:t>(</w:t>
      </w:r>
      <w:r w:rsidR="005727EE">
        <w:rPr>
          <w:i/>
          <w:color w:val="434343"/>
          <w:lang w:eastAsia="ja-JP"/>
        </w:rPr>
        <w:t xml:space="preserve">zusammen mit Dominik </w:t>
      </w:r>
      <w:r w:rsidR="005727EE" w:rsidRPr="00E0220D">
        <w:rPr>
          <w:i/>
          <w:color w:val="434343"/>
          <w:lang w:eastAsia="ja-JP"/>
        </w:rPr>
        <w:t>Rennert</w:t>
      </w:r>
      <w:r w:rsidR="005727EE">
        <w:rPr>
          <w:color w:val="434343"/>
          <w:lang w:eastAsia="ja-JP"/>
        </w:rPr>
        <w:t xml:space="preserve">) </w:t>
      </w:r>
      <w:r w:rsidR="005727EE" w:rsidRPr="00E0220D">
        <w:rPr>
          <w:color w:val="434343"/>
          <w:lang w:eastAsia="ja-JP"/>
        </w:rPr>
        <w:t>Loccum</w:t>
      </w:r>
      <w:r w:rsidR="005727EE">
        <w:rPr>
          <w:color w:val="434343"/>
          <w:lang w:eastAsia="ja-JP"/>
        </w:rPr>
        <w:t xml:space="preserve"> als „Erinnerungsort“ des Staatskirchenrechts. 60 Jahre Niedersächsischer evangelischer Kirchenvertrag, NdsVBl. 2016, S. 33 – 38</w:t>
      </w:r>
    </w:p>
    <w:p w14:paraId="27320026" w14:textId="0FFC31EE" w:rsidR="005309D9" w:rsidRDefault="005309D9"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Rechtliche Zwangsbefugnisse im Verhältnis Staat-Kirche – Das Beispiel der Kulturkampfgesetzgebung </w:t>
      </w:r>
      <w:r w:rsidR="00910BA6">
        <w:rPr>
          <w:color w:val="434343"/>
          <w:lang w:eastAsia="ja-JP"/>
        </w:rPr>
        <w:t xml:space="preserve">in Preußen, </w:t>
      </w:r>
      <w:r>
        <w:rPr>
          <w:color w:val="434343"/>
          <w:lang w:eastAsia="ja-JP"/>
        </w:rPr>
        <w:t>in: Christian Waldhoff</w:t>
      </w:r>
      <w:r w:rsidRPr="00AE5B99">
        <w:rPr>
          <w:color w:val="434343"/>
          <w:lang w:eastAsia="ja-JP"/>
        </w:rPr>
        <w:t xml:space="preserve"> (Hrsg.),</w:t>
      </w:r>
      <w:r>
        <w:rPr>
          <w:color w:val="434343"/>
          <w:lang w:eastAsia="ja-JP"/>
        </w:rPr>
        <w:t xml:space="preserve"> Recht und Konfession – Konfessionalität im </w:t>
      </w:r>
      <w:proofErr w:type="gramStart"/>
      <w:r>
        <w:rPr>
          <w:color w:val="434343"/>
          <w:lang w:eastAsia="ja-JP"/>
        </w:rPr>
        <w:t>Recht?,</w:t>
      </w:r>
      <w:proofErr w:type="gramEnd"/>
      <w:r>
        <w:rPr>
          <w:color w:val="434343"/>
          <w:lang w:eastAsia="ja-JP"/>
        </w:rPr>
        <w:t xml:space="preserve"> Frankfurt a.M.</w:t>
      </w:r>
      <w:r w:rsidR="00C15B2D">
        <w:rPr>
          <w:color w:val="434343"/>
          <w:lang w:eastAsia="ja-JP"/>
        </w:rPr>
        <w:t xml:space="preserve"> 2016, S. 191 – 216 </w:t>
      </w:r>
    </w:p>
    <w:p w14:paraId="064172D5" w14:textId="3736DA4C" w:rsidR="00E0220D" w:rsidRDefault="00E0220D"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Die Kirchen und der </w:t>
      </w:r>
      <w:r w:rsidR="00C15B2D">
        <w:rPr>
          <w:color w:val="434343"/>
          <w:lang w:eastAsia="ja-JP"/>
        </w:rPr>
        <w:t xml:space="preserve">moderne </w:t>
      </w:r>
      <w:r>
        <w:rPr>
          <w:color w:val="434343"/>
          <w:lang w:eastAsia="ja-JP"/>
        </w:rPr>
        <w:t>Verfassungsstaat, in: Christian Waldhoff</w:t>
      </w:r>
      <w:r w:rsidRPr="00AE5B99">
        <w:rPr>
          <w:color w:val="434343"/>
          <w:lang w:eastAsia="ja-JP"/>
        </w:rPr>
        <w:t xml:space="preserve"> (Hrsg.),</w:t>
      </w:r>
      <w:r>
        <w:rPr>
          <w:color w:val="434343"/>
          <w:lang w:eastAsia="ja-JP"/>
        </w:rPr>
        <w:t xml:space="preserve"> Recht und Konfession – Konfessionalität im </w:t>
      </w:r>
      <w:proofErr w:type="gramStart"/>
      <w:r>
        <w:rPr>
          <w:color w:val="434343"/>
          <w:lang w:eastAsia="ja-JP"/>
        </w:rPr>
        <w:t>Recht?,</w:t>
      </w:r>
      <w:proofErr w:type="gramEnd"/>
      <w:r>
        <w:rPr>
          <w:color w:val="434343"/>
          <w:lang w:eastAsia="ja-JP"/>
        </w:rPr>
        <w:t xml:space="preserve"> Frankfurt a.M.</w:t>
      </w:r>
      <w:r w:rsidR="00C15B2D">
        <w:rPr>
          <w:color w:val="434343"/>
          <w:lang w:eastAsia="ja-JP"/>
        </w:rPr>
        <w:t xml:space="preserve"> 2016, S. 219 – 249</w:t>
      </w:r>
    </w:p>
    <w:p w14:paraId="0AA1D34B" w14:textId="70E23C26" w:rsidR="00232E1D" w:rsidRDefault="00C15B2D"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Parlamentsrechtliche Probleme in Zeiten der qualifizierten Großen Koalition in Deutschland (in japanischer Sprache), in: Housei-kenkyo 82-4 (=For</w:t>
      </w:r>
      <w:r w:rsidR="00B65AE7">
        <w:rPr>
          <w:color w:val="434343"/>
          <w:lang w:eastAsia="ja-JP"/>
        </w:rPr>
        <w:t>schungsblatt der Juristischen Fa</w:t>
      </w:r>
      <w:r>
        <w:rPr>
          <w:color w:val="434343"/>
          <w:lang w:eastAsia="ja-JP"/>
        </w:rPr>
        <w:t>kultät der Kyushu Universität, Fukuoka</w:t>
      </w:r>
      <w:r w:rsidR="00A53776">
        <w:rPr>
          <w:color w:val="434343"/>
          <w:lang w:eastAsia="ja-JP"/>
        </w:rPr>
        <w:t>, Japan</w:t>
      </w:r>
      <w:r>
        <w:rPr>
          <w:color w:val="434343"/>
          <w:lang w:eastAsia="ja-JP"/>
        </w:rPr>
        <w:t>), S. 1 – 12</w:t>
      </w:r>
    </w:p>
    <w:p w14:paraId="06B64C45" w14:textId="3D57ECE9" w:rsidR="00C15B2D" w:rsidRPr="005727EE" w:rsidRDefault="00232E1D"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Das österreichische Grundbuchsystem vor dem Hintergrund des Unionsrechts. Überlegungen zum Vorabentscheidungsverfahren in der Rs</w:t>
      </w:r>
      <w:r w:rsidR="00975AFB">
        <w:rPr>
          <w:color w:val="434343"/>
          <w:lang w:eastAsia="ja-JP"/>
        </w:rPr>
        <w:t>.</w:t>
      </w:r>
      <w:r w:rsidR="00ED3742">
        <w:rPr>
          <w:color w:val="434343"/>
          <w:lang w:eastAsia="ja-JP"/>
        </w:rPr>
        <w:t xml:space="preserve"> P</w:t>
      </w:r>
      <w:r>
        <w:rPr>
          <w:color w:val="434343"/>
          <w:lang w:eastAsia="ja-JP"/>
        </w:rPr>
        <w:t>iringer, ZfRV 2/2016, S. 39</w:t>
      </w:r>
      <w:r w:rsidR="00C15B2D">
        <w:rPr>
          <w:color w:val="434343"/>
          <w:lang w:eastAsia="ja-JP"/>
        </w:rPr>
        <w:t xml:space="preserve"> </w:t>
      </w:r>
      <w:r>
        <w:rPr>
          <w:color w:val="434343"/>
          <w:lang w:eastAsia="ja-JP"/>
        </w:rPr>
        <w:t xml:space="preserve">– 46 </w:t>
      </w:r>
    </w:p>
    <w:p w14:paraId="1B38A72A" w14:textId="156F5725" w:rsidR="006F51F7" w:rsidRDefault="006F51F7"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Die Grundzüge des Verhältnisses von Staat und Religionsgemeinschaften in den Sächsischen Staatskirchenverträgen, in: Arnd Uhle (Hrsg.), 20 Jahre Staatskirchenverträge in Sachsen, Berlin 2016, S. 43 – 59 </w:t>
      </w:r>
    </w:p>
    <w:p w14:paraId="59FBDE39" w14:textId="3199220C" w:rsidR="00CA7AC7" w:rsidRPr="00CA7AC7" w:rsidRDefault="00CA7AC7"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Katholische Elemente in der Staatsrechtslehre? in: Historisches Jahrbuch 136 (2016), S. 73 – 99 </w:t>
      </w:r>
      <w:r w:rsidRPr="00C060D2">
        <w:rPr>
          <w:color w:val="434343"/>
          <w:lang w:eastAsia="ja-JP"/>
        </w:rPr>
        <w:t xml:space="preserve"> </w:t>
      </w:r>
    </w:p>
    <w:p w14:paraId="20A40241" w14:textId="4CD28F52" w:rsidR="00517C97" w:rsidRPr="00517C97" w:rsidRDefault="00517C97"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C060D2">
        <w:rPr>
          <w:color w:val="434343"/>
          <w:lang w:eastAsia="ja-JP"/>
        </w:rPr>
        <w:t>„Selbs</w:t>
      </w:r>
      <w:r>
        <w:rPr>
          <w:color w:val="434343"/>
          <w:lang w:eastAsia="ja-JP"/>
        </w:rPr>
        <w:t xml:space="preserve">tbericht“ Ulrich Stutz, </w:t>
      </w:r>
      <w:r w:rsidRPr="00C060D2">
        <w:rPr>
          <w:color w:val="434343"/>
          <w:lang w:eastAsia="ja-JP"/>
        </w:rPr>
        <w:t>ZRG Kan.</w:t>
      </w:r>
      <w:r>
        <w:rPr>
          <w:color w:val="434343"/>
          <w:lang w:eastAsia="ja-JP"/>
        </w:rPr>
        <w:t xml:space="preserve"> 102 (2016), S. 484 – 501 </w:t>
      </w:r>
    </w:p>
    <w:p w14:paraId="00996EFE" w14:textId="667C194D" w:rsidR="00C96A8E" w:rsidRPr="003873AE" w:rsidRDefault="00C96A8E" w:rsidP="00CE4EBA">
      <w:pPr>
        <w:widowControl w:val="0"/>
        <w:numPr>
          <w:ilvl w:val="0"/>
          <w:numId w:val="5"/>
        </w:numPr>
        <w:tabs>
          <w:tab w:val="left" w:pos="220"/>
          <w:tab w:val="left" w:pos="720"/>
        </w:tabs>
        <w:autoSpaceDE w:val="0"/>
        <w:autoSpaceDN w:val="0"/>
        <w:adjustRightInd w:val="0"/>
        <w:spacing w:after="80"/>
        <w:ind w:hanging="720"/>
        <w:rPr>
          <w:color w:val="434343"/>
          <w:lang w:val="en-US" w:eastAsia="ja-JP"/>
        </w:rPr>
      </w:pPr>
      <w:r w:rsidRPr="003873AE">
        <w:rPr>
          <w:color w:val="434343"/>
          <w:lang w:val="en-US" w:eastAsia="ja-JP"/>
        </w:rPr>
        <w:t>On Constitutional Duties to Give Reasons for Legislative Acts, in: Klaus Meßerschmidt/A. Daniel Oliver-Lalana (ed.), Rational Lawmaking under Review. Legisprudence According to the German Federal Constituional Court (=Legisprudence Library, 3), Switzerland 2016, p. 129 – 151</w:t>
      </w:r>
      <w:r w:rsidR="00BD1E95">
        <w:rPr>
          <w:color w:val="434343"/>
          <w:lang w:val="en-US" w:eastAsia="ja-JP"/>
        </w:rPr>
        <w:t xml:space="preserve"> (Übersetzung ins Chinesische in Arbeit)</w:t>
      </w:r>
      <w:r w:rsidRPr="003873AE">
        <w:rPr>
          <w:color w:val="434343"/>
          <w:lang w:val="en-US" w:eastAsia="ja-JP"/>
        </w:rPr>
        <w:t xml:space="preserve"> </w:t>
      </w:r>
    </w:p>
    <w:p w14:paraId="335541FE" w14:textId="46C1418D" w:rsidR="00FC7146" w:rsidRPr="00FC7146" w:rsidRDefault="00FC7146"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Kommunale Selbstverwaltung als verfassungsrechtlicher Bewegungsbegriff, DVBl. 2016, S. 1022 </w:t>
      </w:r>
      <w:r w:rsidR="003D053B">
        <w:rPr>
          <w:color w:val="434343"/>
          <w:lang w:eastAsia="ja-JP"/>
        </w:rPr>
        <w:t>–</w:t>
      </w:r>
      <w:r>
        <w:rPr>
          <w:color w:val="434343"/>
          <w:lang w:eastAsia="ja-JP"/>
        </w:rPr>
        <w:t xml:space="preserve"> </w:t>
      </w:r>
      <w:r w:rsidR="003D053B">
        <w:rPr>
          <w:color w:val="434343"/>
          <w:lang w:eastAsia="ja-JP"/>
        </w:rPr>
        <w:t xml:space="preserve">1031 </w:t>
      </w:r>
      <w:r>
        <w:rPr>
          <w:color w:val="434343"/>
          <w:lang w:eastAsia="ja-JP"/>
        </w:rPr>
        <w:t xml:space="preserve">  </w:t>
      </w:r>
    </w:p>
    <w:p w14:paraId="3E5D25D2" w14:textId="31AAB801" w:rsidR="0047202E" w:rsidRPr="00C15B2D" w:rsidRDefault="0047202E"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Flüchtlinge als bundesstaatliche Herausforderung – Organisation und Finan</w:t>
      </w:r>
      <w:r w:rsidR="001E7293">
        <w:rPr>
          <w:color w:val="434343"/>
          <w:lang w:eastAsia="ja-JP"/>
        </w:rPr>
        <w:t xml:space="preserve">zierung, in: </w:t>
      </w:r>
      <w:r>
        <w:rPr>
          <w:color w:val="434343"/>
          <w:lang w:eastAsia="ja-JP"/>
        </w:rPr>
        <w:t>Hans-Günter Henneke</w:t>
      </w:r>
      <w:r w:rsidR="001E7293">
        <w:rPr>
          <w:color w:val="434343"/>
          <w:lang w:eastAsia="ja-JP"/>
        </w:rPr>
        <w:t xml:space="preserve"> (Hrsg.), Flüchtlingsunterbringung und -integration als kommunale Herausforderung, Stuttgart</w:t>
      </w:r>
      <w:r w:rsidR="00A53776">
        <w:rPr>
          <w:color w:val="434343"/>
          <w:lang w:eastAsia="ja-JP"/>
        </w:rPr>
        <w:t xml:space="preserve"> 2016</w:t>
      </w:r>
      <w:r w:rsidR="001E7293">
        <w:rPr>
          <w:color w:val="434343"/>
          <w:lang w:eastAsia="ja-JP"/>
        </w:rPr>
        <w:t xml:space="preserve">, S. 113 – 132 </w:t>
      </w:r>
    </w:p>
    <w:p w14:paraId="70A4F5D4" w14:textId="723A0130" w:rsidR="001E7293" w:rsidRDefault="001E7293"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Das Ziel der Geldwertstabilität im deutschen Verfassungsrecht und im Europ</w:t>
      </w:r>
      <w:r w:rsidR="007E5928">
        <w:rPr>
          <w:color w:val="434343"/>
          <w:lang w:eastAsia="ja-JP"/>
        </w:rPr>
        <w:t>arecht, in: Arno Scherzberg/</w:t>
      </w:r>
      <w:r>
        <w:rPr>
          <w:color w:val="434343"/>
          <w:lang w:eastAsia="ja-JP"/>
        </w:rPr>
        <w:t>Osman Can</w:t>
      </w:r>
      <w:r w:rsidR="00DF0D93">
        <w:rPr>
          <w:color w:val="434343"/>
          <w:lang w:eastAsia="ja-JP"/>
        </w:rPr>
        <w:t>/Í</w:t>
      </w:r>
      <w:r w:rsidR="007E5928">
        <w:rPr>
          <w:color w:val="434343"/>
          <w:lang w:eastAsia="ja-JP"/>
        </w:rPr>
        <w:t>lyas Dogan (Hrsg.), Die Sicherung der Geldwert- und Finanzstabilität</w:t>
      </w:r>
      <w:r>
        <w:rPr>
          <w:color w:val="434343"/>
          <w:lang w:eastAsia="ja-JP"/>
        </w:rPr>
        <w:t xml:space="preserve"> </w:t>
      </w:r>
      <w:r w:rsidR="007E5928">
        <w:rPr>
          <w:color w:val="434343"/>
          <w:lang w:eastAsia="ja-JP"/>
        </w:rPr>
        <w:t xml:space="preserve">in Deutschland und in der Türkei, Münster 2016, S. 19 – 37 </w:t>
      </w:r>
    </w:p>
    <w:p w14:paraId="072BBA58" w14:textId="77777777" w:rsidR="00D62211" w:rsidRDefault="0052655F"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Untergesetzliche Normsetzung in einer informationell vernetzten Gesundheitsversorgung, Medizinrecht 2016, S. 654 – 660</w:t>
      </w:r>
    </w:p>
    <w:p w14:paraId="712880EE" w14:textId="77777777" w:rsidR="00ED3742" w:rsidRDefault="00CB25AF"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Stärkung der Einnahmenautonomie als Zukunft der EU-Finanzen? in: ifo Schnelldienst 6/2017, S. 12 – 14</w:t>
      </w:r>
    </w:p>
    <w:p w14:paraId="4210C1B3" w14:textId="36E01747" w:rsidR="00481225" w:rsidRDefault="00481225"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w:t>
      </w:r>
      <w:r>
        <w:rPr>
          <w:i/>
          <w:color w:val="434343"/>
          <w:lang w:eastAsia="ja-JP"/>
        </w:rPr>
        <w:t>zusammen mit Christian Neumeier</w:t>
      </w:r>
      <w:r>
        <w:rPr>
          <w:color w:val="434343"/>
          <w:lang w:eastAsia="ja-JP"/>
        </w:rPr>
        <w:t xml:space="preserve">) Die Rückforderung zweckwidrig verwendeter Fraktionsmittel im System des Parlamentsrechts, ZParl. 2017, S. 163 – 185 </w:t>
      </w:r>
    </w:p>
    <w:p w14:paraId="0683987B" w14:textId="17E5FAB0" w:rsidR="00CB25AF" w:rsidRDefault="00ED374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Notarvorbehalt im Grundstücksverkehr europarechtskonform. EuGH stärkt Notariatsverfassungen de</w:t>
      </w:r>
      <w:r w:rsidR="0019799C">
        <w:rPr>
          <w:color w:val="434343"/>
          <w:lang w:eastAsia="ja-JP"/>
        </w:rPr>
        <w:t xml:space="preserve">r Mitgliedstaaten, in: </w:t>
      </w:r>
      <w:r>
        <w:rPr>
          <w:color w:val="434343"/>
          <w:lang w:eastAsia="ja-JP"/>
        </w:rPr>
        <w:t>EuZW 2017</w:t>
      </w:r>
      <w:r w:rsidR="0019799C">
        <w:rPr>
          <w:color w:val="434343"/>
          <w:lang w:eastAsia="ja-JP"/>
        </w:rPr>
        <w:t xml:space="preserve">, S. 382 – 386 </w:t>
      </w:r>
      <w:r w:rsidR="00CB25AF">
        <w:rPr>
          <w:color w:val="434343"/>
          <w:lang w:eastAsia="ja-JP"/>
        </w:rPr>
        <w:t xml:space="preserve"> </w:t>
      </w:r>
    </w:p>
    <w:p w14:paraId="5AAF50DD" w14:textId="77777777" w:rsidR="00994D31" w:rsidRDefault="00730F7B"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Systematik des Staatseigentumsrechts, </w:t>
      </w:r>
      <w:r w:rsidR="00E46562">
        <w:rPr>
          <w:color w:val="434343"/>
          <w:lang w:eastAsia="ja-JP"/>
        </w:rPr>
        <w:t>in:</w:t>
      </w:r>
      <w:r>
        <w:rPr>
          <w:color w:val="434343"/>
          <w:lang w:eastAsia="ja-JP"/>
        </w:rPr>
        <w:t xml:space="preserve"> Otto Depenheuer</w:t>
      </w:r>
      <w:r w:rsidR="00E46562">
        <w:rPr>
          <w:color w:val="434343"/>
          <w:lang w:eastAsia="ja-JP"/>
        </w:rPr>
        <w:t>/</w:t>
      </w:r>
      <w:r w:rsidR="00E60A20">
        <w:rPr>
          <w:color w:val="434343"/>
          <w:lang w:eastAsia="ja-JP"/>
        </w:rPr>
        <w:t>Bruno Kahl</w:t>
      </w:r>
      <w:r w:rsidR="00E46562">
        <w:rPr>
          <w:color w:val="434343"/>
          <w:lang w:eastAsia="ja-JP"/>
        </w:rPr>
        <w:t xml:space="preserve"> (Hrsg.), </w:t>
      </w:r>
      <w:r>
        <w:rPr>
          <w:color w:val="434343"/>
          <w:lang w:eastAsia="ja-JP"/>
        </w:rPr>
        <w:t>Staatseigentum</w:t>
      </w:r>
      <w:r w:rsidR="00E46562">
        <w:rPr>
          <w:color w:val="434343"/>
          <w:lang w:eastAsia="ja-JP"/>
        </w:rPr>
        <w:t>. Legitimation und Grenzen, Berlin 2017, § 8 S. 81 – 107</w:t>
      </w:r>
    </w:p>
    <w:p w14:paraId="006BE1A2" w14:textId="77777777" w:rsidR="00F263CD" w:rsidRDefault="00994D31"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Kommentar zum Vortrag von Hiroshi Nishihara (Zwischen Staatsabhängigkeit und Repräsentationsdefizit: Warum akzeptieren viele Japaner die anti-freiheitliche Verfassungreform der </w:t>
      </w:r>
      <w:proofErr w:type="gramStart"/>
      <w:r>
        <w:rPr>
          <w:color w:val="434343"/>
          <w:lang w:eastAsia="ja-JP"/>
        </w:rPr>
        <w:t>LDP?,</w:t>
      </w:r>
      <w:proofErr w:type="gramEnd"/>
      <w:r>
        <w:rPr>
          <w:color w:val="434343"/>
          <w:lang w:eastAsia="ja-JP"/>
        </w:rPr>
        <w:t xml:space="preserve"> in: Matthias Jestaedt/Hidemi Suzuki (Hrsg.), </w:t>
      </w:r>
      <w:r>
        <w:rPr>
          <w:color w:val="434343"/>
          <w:lang w:eastAsia="ja-JP"/>
        </w:rPr>
        <w:lastRenderedPageBreak/>
        <w:t>Verfassungsentwicklung I. Auslegung, Wandlung und Änderung der Verfassung. Deutsch-japanisches Verfassungsgespräch 2015, Tübingen 2017, S. 141 – 146</w:t>
      </w:r>
    </w:p>
    <w:p w14:paraId="314D4AB0" w14:textId="77777777" w:rsidR="0082226B" w:rsidRDefault="00F263CD"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w:t>
      </w:r>
      <w:r>
        <w:rPr>
          <w:i/>
          <w:color w:val="434343"/>
          <w:lang w:eastAsia="ja-JP"/>
        </w:rPr>
        <w:t>zusammen mit Dominik Rennert</w:t>
      </w:r>
      <w:r>
        <w:rPr>
          <w:color w:val="434343"/>
          <w:lang w:eastAsia="ja-JP"/>
        </w:rPr>
        <w:t>) Kommunalinvestitionsgesetz und Kassenkredite, in: LKV 2017, S. 481 – 487</w:t>
      </w:r>
    </w:p>
    <w:p w14:paraId="18E83B6B" w14:textId="180F9003" w:rsidR="00BD4519" w:rsidRDefault="0082226B"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Sach- und / oder Personalregulierung im Recht der Spielautomaten? </w:t>
      </w:r>
      <w:r w:rsidR="00E443AE">
        <w:rPr>
          <w:color w:val="434343"/>
          <w:lang w:eastAsia="ja-JP"/>
        </w:rPr>
        <w:t xml:space="preserve">in: GewArch. 2018, S. 89 – 94 und S. 133 – 140 </w:t>
      </w:r>
    </w:p>
    <w:p w14:paraId="3A238D51" w14:textId="6D41A27B" w:rsidR="00C803BE" w:rsidRPr="00C803BE" w:rsidRDefault="00C803BE"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BE5153">
        <w:t>Demokratie und Freiheit im bundesrepublikanischen Steuerstaat: Finanz- und steuerverfassungsr</w:t>
      </w:r>
      <w:r>
        <w:t xml:space="preserve">echtliche Diskurse 1949 bis 2018, in: Sebastian Huhnholz (Hrsg.), Fiskus – Verfassung – Freiheit. Politisches Denken er öffentlichen Finanzen von Hobbes bis heute, Baden-Baden 2018, S. 325 – 360 </w:t>
      </w:r>
    </w:p>
    <w:p w14:paraId="059C05A4" w14:textId="254DC4CA" w:rsidR="00445BF1" w:rsidRPr="00445BF1" w:rsidRDefault="00445BF1" w:rsidP="00445BF1">
      <w:pPr>
        <w:widowControl w:val="0"/>
        <w:numPr>
          <w:ilvl w:val="0"/>
          <w:numId w:val="5"/>
        </w:numPr>
        <w:tabs>
          <w:tab w:val="left" w:pos="220"/>
          <w:tab w:val="left" w:pos="720"/>
        </w:tabs>
        <w:autoSpaceDE w:val="0"/>
        <w:autoSpaceDN w:val="0"/>
        <w:adjustRightInd w:val="0"/>
        <w:spacing w:after="80"/>
        <w:ind w:hanging="720"/>
      </w:pPr>
      <w:r>
        <w:t>Verpflichtet Eigentum? Das Eigentum im Grundgesetz, in: Stiftung Familienunternehmen (Hrsg.), Eigentum. Warum wir es brauchen, was es bewirkt, wo es gefährdet ist, Freiburg i.Br. 2018, S. 125 – 136</w:t>
      </w:r>
    </w:p>
    <w:p w14:paraId="622882B6" w14:textId="512853F7" w:rsidR="008A2D34" w:rsidRPr="008A2D34" w:rsidRDefault="008A2D34" w:rsidP="008A2D34">
      <w:pPr>
        <w:widowControl w:val="0"/>
        <w:numPr>
          <w:ilvl w:val="0"/>
          <w:numId w:val="5"/>
        </w:numPr>
        <w:tabs>
          <w:tab w:val="left" w:pos="220"/>
          <w:tab w:val="left" w:pos="720"/>
        </w:tabs>
        <w:autoSpaceDE w:val="0"/>
        <w:autoSpaceDN w:val="0"/>
        <w:adjustRightInd w:val="0"/>
        <w:spacing w:after="80"/>
        <w:ind w:hanging="720"/>
      </w:pPr>
      <w:r w:rsidRPr="00BE5153">
        <w:rPr>
          <w:color w:val="434343"/>
          <w:lang w:eastAsia="ja-JP"/>
        </w:rPr>
        <w:t>Privat</w:t>
      </w:r>
      <w:r>
        <w:rPr>
          <w:color w:val="434343"/>
          <w:lang w:eastAsia="ja-JP"/>
        </w:rPr>
        <w:t>isi</w:t>
      </w:r>
      <w:r w:rsidRPr="00BE5153">
        <w:rPr>
          <w:color w:val="434343"/>
          <w:lang w:eastAsia="ja-JP"/>
        </w:rPr>
        <w:t>e</w:t>
      </w:r>
      <w:r>
        <w:rPr>
          <w:color w:val="434343"/>
          <w:lang w:eastAsia="ja-JP"/>
        </w:rPr>
        <w:t>rung der</w:t>
      </w:r>
      <w:r w:rsidRPr="00BE5153">
        <w:rPr>
          <w:color w:val="434343"/>
          <w:lang w:eastAsia="ja-JP"/>
        </w:rPr>
        <w:t xml:space="preserve"> Rechtsetz</w:t>
      </w:r>
      <w:r>
        <w:rPr>
          <w:color w:val="434343"/>
          <w:lang w:eastAsia="ja-JP"/>
        </w:rPr>
        <w:t xml:space="preserve">ung: Bilanzrecht, in: Thomas Eilmansberger/Michael Holoubek/Susanne Kalss/Michael Lang/Georg Lienbacher/Brigitta Lurger/Michael Potacs/Robert Rebhahn (Hrsg.), Privatisierung der Rechtsetzung, Wien 2018, S. 95 – 109 </w:t>
      </w:r>
    </w:p>
    <w:p w14:paraId="36B5D194" w14:textId="472D6AFF" w:rsidR="00F3230F" w:rsidRDefault="00AD1A89" w:rsidP="00AD1A89">
      <w:pPr>
        <w:widowControl w:val="0"/>
        <w:numPr>
          <w:ilvl w:val="0"/>
          <w:numId w:val="5"/>
        </w:numPr>
        <w:tabs>
          <w:tab w:val="left" w:pos="220"/>
          <w:tab w:val="left" w:pos="720"/>
        </w:tabs>
        <w:autoSpaceDE w:val="0"/>
        <w:autoSpaceDN w:val="0"/>
        <w:adjustRightInd w:val="0"/>
        <w:spacing w:after="80"/>
        <w:ind w:hanging="720"/>
      </w:pPr>
      <w:r>
        <w:t xml:space="preserve">Folgen – Lehren – Rezeptionen: Zum Nachleben des Verfassungswerks von Weimar, in: Horst Dreier und Christian Waldhoff (Hrsg.), Das Wagnis der Demokratie. Zur Anatomie der Weimarer Reichsverfassung, </w:t>
      </w:r>
      <w:r w:rsidR="00756B56">
        <w:t xml:space="preserve">1. Aufl. </w:t>
      </w:r>
      <w:r>
        <w:t>München 2018, S. 289 – 315</w:t>
      </w:r>
      <w:r w:rsidR="00756B56">
        <w:t xml:space="preserve">; 2. Aufl. München 2018, S. 289 – 315 </w:t>
      </w:r>
    </w:p>
    <w:p w14:paraId="41FFF0A8" w14:textId="77777777" w:rsidR="002A5989" w:rsidRDefault="00AD1A89" w:rsidP="00F3230F">
      <w:pPr>
        <w:widowControl w:val="0"/>
        <w:numPr>
          <w:ilvl w:val="0"/>
          <w:numId w:val="5"/>
        </w:numPr>
        <w:tabs>
          <w:tab w:val="left" w:pos="220"/>
          <w:tab w:val="left" w:pos="720"/>
        </w:tabs>
        <w:autoSpaceDE w:val="0"/>
        <w:autoSpaceDN w:val="0"/>
        <w:adjustRightInd w:val="0"/>
        <w:spacing w:after="80"/>
        <w:ind w:hanging="720"/>
      </w:pPr>
      <w:r>
        <w:t xml:space="preserve"> </w:t>
      </w:r>
      <w:r w:rsidR="00F3230F">
        <w:t>Entwicklung des Steuerrechtsschutzes in Deutschland, in: Klaus-Dieter Drüen/Johanna Hey/Rudolf Mellinghoff (Hrsg), 100 Jahre Steuerrechtsprechung in Deutschland 1918-2018. Festschrift für den Bundesfinanzhof, Bd. 1, Köln 2018, S. 3 – 20</w:t>
      </w:r>
    </w:p>
    <w:p w14:paraId="78AB87E1" w14:textId="13013415" w:rsidR="00AD1A89" w:rsidRDefault="002A5989" w:rsidP="00F3230F">
      <w:pPr>
        <w:widowControl w:val="0"/>
        <w:numPr>
          <w:ilvl w:val="0"/>
          <w:numId w:val="5"/>
        </w:numPr>
        <w:tabs>
          <w:tab w:val="left" w:pos="220"/>
          <w:tab w:val="left" w:pos="720"/>
        </w:tabs>
        <w:autoSpaceDE w:val="0"/>
        <w:autoSpaceDN w:val="0"/>
        <w:adjustRightInd w:val="0"/>
        <w:spacing w:after="80"/>
        <w:ind w:hanging="720"/>
      </w:pPr>
      <w:r>
        <w:t>Was gehört ins Grundgesetz? Über Nutzen und Nachteile verfassungsrechtlicher Bindungen, in: Frankfurter Allgemeine Zeitung Nr. 296 vom 20. Dezember 2018, S. 6</w:t>
      </w:r>
      <w:r w:rsidR="00F3230F">
        <w:t xml:space="preserve"> </w:t>
      </w:r>
    </w:p>
    <w:p w14:paraId="787411A9" w14:textId="777F4ED2" w:rsidR="009A50F2" w:rsidRPr="009A50F2" w:rsidRDefault="009A50F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Die Kirchen als Geburtshelfer und Begleiter des Verfassungsstaats? in: Martin Löhning (Hrsg.), Staat und Religion in der Moderne, Regensburg 2018, S. 21 – 39  </w:t>
      </w:r>
    </w:p>
    <w:p w14:paraId="39D800E8" w14:textId="43D31263" w:rsidR="002C00FB" w:rsidRPr="00694D46" w:rsidRDefault="002C00FB"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t>(</w:t>
      </w:r>
      <w:r>
        <w:rPr>
          <w:i/>
        </w:rPr>
        <w:t>zusammen mit Holger Grefrath</w:t>
      </w:r>
      <w:r>
        <w:t>) Gehört Gott in die Verfassung? Die Präambel des Grundgesetzes, in: Andreas Anter/Verena Frick (Hrsg.), Politik, Recht und Religion, Tübingen 201</w:t>
      </w:r>
      <w:r w:rsidR="002A5989">
        <w:t>9</w:t>
      </w:r>
      <w:r>
        <w:t>, S. 49 – 80</w:t>
      </w:r>
    </w:p>
    <w:p w14:paraId="0423A19E" w14:textId="77777777" w:rsidR="00E00B0B" w:rsidRDefault="00CB3072"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Budgethoheit und Haushaltskontrolle – vom „Königsrecht“ zum leeren Ritual? </w:t>
      </w:r>
      <w:r w:rsidR="00E00B0B">
        <w:rPr>
          <w:color w:val="434343"/>
          <w:lang w:eastAsia="ja-JP"/>
        </w:rPr>
        <w:t xml:space="preserve">in: Bitburger Gespräche. Jahrbuch 2018, Parlamentarische Kontrolle in der </w:t>
      </w:r>
      <w:proofErr w:type="gramStart"/>
      <w:r w:rsidR="00E00B0B">
        <w:rPr>
          <w:color w:val="434343"/>
          <w:lang w:eastAsia="ja-JP"/>
        </w:rPr>
        <w:t>Krise?,</w:t>
      </w:r>
      <w:proofErr w:type="gramEnd"/>
      <w:r w:rsidR="00E00B0B">
        <w:rPr>
          <w:color w:val="434343"/>
          <w:lang w:eastAsia="ja-JP"/>
        </w:rPr>
        <w:t xml:space="preserve"> München </w:t>
      </w:r>
      <w:r>
        <w:rPr>
          <w:color w:val="434343"/>
          <w:lang w:eastAsia="ja-JP"/>
        </w:rPr>
        <w:t>2019</w:t>
      </w:r>
      <w:r w:rsidR="00E00B0B">
        <w:rPr>
          <w:color w:val="434343"/>
          <w:lang w:eastAsia="ja-JP"/>
        </w:rPr>
        <w:t>, S. 113 – 128</w:t>
      </w:r>
    </w:p>
    <w:p w14:paraId="1D158867" w14:textId="2B28FEAB" w:rsidR="00E00B0B" w:rsidRPr="00E00B0B" w:rsidRDefault="00E00B0B" w:rsidP="00E00B0B">
      <w:pPr>
        <w:widowControl w:val="0"/>
        <w:numPr>
          <w:ilvl w:val="0"/>
          <w:numId w:val="5"/>
        </w:numPr>
        <w:tabs>
          <w:tab w:val="left" w:pos="220"/>
          <w:tab w:val="left" w:pos="720"/>
        </w:tabs>
        <w:autoSpaceDE w:val="0"/>
        <w:autoSpaceDN w:val="0"/>
        <w:adjustRightInd w:val="0"/>
        <w:spacing w:after="80"/>
        <w:ind w:hanging="720"/>
        <w:rPr>
          <w:color w:val="434343"/>
          <w:lang w:eastAsia="ja-JP"/>
        </w:rPr>
      </w:pPr>
      <w:r>
        <w:t xml:space="preserve">Föderalismus. Der prekäre Status der Länder als politischer Raum, in: Hans Michael Heinig/Frank Schorkopf (Hrsg.), 70 Jahre Grundgesetz. In welcher Verfassung ist die </w:t>
      </w:r>
      <w:proofErr w:type="gramStart"/>
      <w:r>
        <w:t>Bundesrepublik?,</w:t>
      </w:r>
      <w:proofErr w:type="gramEnd"/>
      <w:r>
        <w:t xml:space="preserve"> Göttingen 2019, S. 229 – 242 </w:t>
      </w:r>
    </w:p>
    <w:p w14:paraId="02F2F4A7" w14:textId="49CA8FEC" w:rsidR="00CB3072" w:rsidRPr="00E00B0B" w:rsidRDefault="00E00B0B" w:rsidP="00E00B0B">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Das Gesetz zwischen Recht und Politik, Zeitschrift für Politik </w:t>
      </w:r>
      <w:r w:rsidR="00E30911">
        <w:rPr>
          <w:color w:val="434343"/>
          <w:lang w:eastAsia="ja-JP"/>
        </w:rPr>
        <w:t>66 (</w:t>
      </w:r>
      <w:r>
        <w:rPr>
          <w:color w:val="434343"/>
          <w:lang w:eastAsia="ja-JP"/>
        </w:rPr>
        <w:t>2019</w:t>
      </w:r>
      <w:r w:rsidR="00E30911">
        <w:rPr>
          <w:color w:val="434343"/>
          <w:lang w:eastAsia="ja-JP"/>
        </w:rPr>
        <w:t>), S. 98 - 114</w:t>
      </w:r>
      <w:r w:rsidRPr="00E00B0B">
        <w:rPr>
          <w:color w:val="434343"/>
          <w:lang w:eastAsia="ja-JP"/>
        </w:rPr>
        <w:t xml:space="preserve"> </w:t>
      </w:r>
    </w:p>
    <w:p w14:paraId="6A104283" w14:textId="77777777" w:rsidR="00457EC3" w:rsidRDefault="00EE1B07" w:rsidP="00EE1B07">
      <w:pPr>
        <w:widowControl w:val="0"/>
        <w:numPr>
          <w:ilvl w:val="0"/>
          <w:numId w:val="5"/>
        </w:numPr>
        <w:tabs>
          <w:tab w:val="left" w:pos="220"/>
          <w:tab w:val="left" w:pos="720"/>
        </w:tabs>
        <w:autoSpaceDE w:val="0"/>
        <w:autoSpaceDN w:val="0"/>
        <w:adjustRightInd w:val="0"/>
        <w:spacing w:after="80"/>
        <w:ind w:hanging="720"/>
      </w:pPr>
      <w:r>
        <w:t>Verfassungsjubiläen – Gedanken zur Verfassungskultur aus Anlass des 70. Jahrestags des Grundgesetzes, in: NJW 2019, S. 1553 – 1560</w:t>
      </w:r>
    </w:p>
    <w:p w14:paraId="4B35761E" w14:textId="77777777" w:rsidR="009B360A" w:rsidRDefault="00457EC3" w:rsidP="00457EC3">
      <w:pPr>
        <w:widowControl w:val="0"/>
        <w:numPr>
          <w:ilvl w:val="0"/>
          <w:numId w:val="5"/>
        </w:numPr>
        <w:tabs>
          <w:tab w:val="left" w:pos="220"/>
          <w:tab w:val="left" w:pos="720"/>
        </w:tabs>
        <w:autoSpaceDE w:val="0"/>
        <w:autoSpaceDN w:val="0"/>
        <w:adjustRightInd w:val="0"/>
        <w:spacing w:after="80"/>
        <w:ind w:hanging="720"/>
      </w:pPr>
      <w:r>
        <w:t>Normative und faktische Gleichheitserwartungen – die magische Formel von den „gleichwertigen Lebensverhältnissen“ im Bundesgebiet, ZG 2019, S. 97 – 113</w:t>
      </w:r>
    </w:p>
    <w:p w14:paraId="395BFCCC" w14:textId="1A58C2AB" w:rsidR="00305F7E" w:rsidRDefault="00305F7E" w:rsidP="00305F7E">
      <w:pPr>
        <w:widowControl w:val="0"/>
        <w:numPr>
          <w:ilvl w:val="0"/>
          <w:numId w:val="5"/>
        </w:numPr>
        <w:tabs>
          <w:tab w:val="left" w:pos="220"/>
          <w:tab w:val="left" w:pos="720"/>
        </w:tabs>
        <w:autoSpaceDE w:val="0"/>
        <w:autoSpaceDN w:val="0"/>
        <w:adjustRightInd w:val="0"/>
        <w:spacing w:after="80"/>
        <w:ind w:hanging="720"/>
      </w:pPr>
      <w:r>
        <w:t xml:space="preserve">§ 2 Abs. 1 AO zwischen juristischer Methodenlehre, (Außen-)Verfassungsrecht und unmittelbarer Anwendbarkeit der Doppelbesteuerungsabkommen, in: Roland Ismer/Ekkehart Reimer/Alexander Rust/Christian Waldhoff (Hrsg.), Territorialität und Personalität. Festschrift für Moris Lehner zum 70. Geburtstag, Köln 2019, S. 171 – 193 </w:t>
      </w:r>
    </w:p>
    <w:p w14:paraId="11E761FF" w14:textId="5F0EB5D7" w:rsidR="00AC67CB" w:rsidRDefault="00AC67CB" w:rsidP="00AC67CB">
      <w:pPr>
        <w:widowControl w:val="0"/>
        <w:numPr>
          <w:ilvl w:val="0"/>
          <w:numId w:val="5"/>
        </w:numPr>
        <w:tabs>
          <w:tab w:val="left" w:pos="220"/>
          <w:tab w:val="left" w:pos="720"/>
        </w:tabs>
        <w:autoSpaceDE w:val="0"/>
        <w:autoSpaceDN w:val="0"/>
        <w:adjustRightInd w:val="0"/>
        <w:spacing w:after="80"/>
        <w:ind w:hanging="720"/>
      </w:pPr>
      <w:r>
        <w:lastRenderedPageBreak/>
        <w:t xml:space="preserve">100 Jahre Weimarer Reichsverfassung und die kommunale Selbstverwaltung, in: Der Landkreis 2019, S. 420 – 425 </w:t>
      </w:r>
    </w:p>
    <w:p w14:paraId="1C9DDC0E" w14:textId="77777777" w:rsidR="00355B08" w:rsidRDefault="00AC67CB" w:rsidP="00457EC3">
      <w:pPr>
        <w:widowControl w:val="0"/>
        <w:numPr>
          <w:ilvl w:val="0"/>
          <w:numId w:val="5"/>
        </w:numPr>
        <w:tabs>
          <w:tab w:val="left" w:pos="220"/>
          <w:tab w:val="left" w:pos="720"/>
        </w:tabs>
        <w:autoSpaceDE w:val="0"/>
        <w:autoSpaceDN w:val="0"/>
        <w:adjustRightInd w:val="0"/>
        <w:spacing w:after="80"/>
        <w:ind w:hanging="720"/>
      </w:pPr>
      <w:r>
        <w:t>„Weimar“ als Argument. Die Weimarer Reichsverfassung als Vorbild und als Gegenbild für das Grundgesetz, in: JuS 2019, S. 737 – 744</w:t>
      </w:r>
    </w:p>
    <w:p w14:paraId="6F0FB929" w14:textId="3D5E0C14" w:rsidR="00355B08" w:rsidRDefault="00355B08" w:rsidP="00355B08">
      <w:pPr>
        <w:widowControl w:val="0"/>
        <w:numPr>
          <w:ilvl w:val="0"/>
          <w:numId w:val="5"/>
        </w:numPr>
        <w:tabs>
          <w:tab w:val="left" w:pos="220"/>
          <w:tab w:val="left" w:pos="720"/>
        </w:tabs>
        <w:autoSpaceDE w:val="0"/>
        <w:autoSpaceDN w:val="0"/>
        <w:adjustRightInd w:val="0"/>
        <w:spacing w:after="80"/>
        <w:ind w:hanging="720"/>
      </w:pPr>
      <w:r>
        <w:t xml:space="preserve">Organisationsprobleme von Religionsgemeinschaften unterhalb des Körperschaftstatus, in: Karlies Abmeier/Andreas Jacobs/Thomas Köhler (Hrsg.), Rechtliche Optionen für Kooperationen zwischen deutschem Staat und muslimischen Gemeinschaften, Münster 2019, S. 177 – 186 </w:t>
      </w:r>
    </w:p>
    <w:p w14:paraId="6FA8E02D" w14:textId="54975224" w:rsidR="00821814" w:rsidRDefault="00AC67CB"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t xml:space="preserve"> </w:t>
      </w:r>
      <w:r w:rsidR="00BB6481" w:rsidRPr="00EE6627">
        <w:rPr>
          <w:color w:val="434343"/>
          <w:lang w:eastAsia="ja-JP"/>
        </w:rPr>
        <w:t xml:space="preserve">Herausforderungen des Verfassungsstaats durch die Digitalisierung am Beispiel des Steuerrechts, </w:t>
      </w:r>
      <w:r w:rsidR="00EE6627">
        <w:rPr>
          <w:color w:val="434343"/>
          <w:lang w:eastAsia="ja-JP"/>
        </w:rPr>
        <w:t>in: Johanna Hey (Hrsg.), Digitalisierung im Steuerrecht, Köln 2019, S. 59 – 85</w:t>
      </w:r>
    </w:p>
    <w:p w14:paraId="4C3724A4" w14:textId="634C61F1" w:rsidR="000E7BF6" w:rsidRDefault="000E7BF6"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Normative und faktische Gleichheitserwartungen – die magische Formel von den „gleichwertigen Lebensverhältnissen“ im Bundesgebiet, in: Hans-Günter Henneke (Hrsg.), Gleichwertige Lebensverhältnisse bei veränderter Statik des Bundesstaates? Stuttgart, 2019, S. 11 – 31 (entspricht Nr. 200)</w:t>
      </w:r>
    </w:p>
    <w:p w14:paraId="3200A853" w14:textId="77777777" w:rsidR="007021C8" w:rsidRDefault="00821814" w:rsidP="00CE4EBA">
      <w:pPr>
        <w:widowControl w:val="0"/>
        <w:numPr>
          <w:ilvl w:val="0"/>
          <w:numId w:val="5"/>
        </w:numPr>
        <w:tabs>
          <w:tab w:val="left" w:pos="220"/>
          <w:tab w:val="left" w:pos="720"/>
        </w:tabs>
        <w:autoSpaceDE w:val="0"/>
        <w:autoSpaceDN w:val="0"/>
        <w:adjustRightInd w:val="0"/>
        <w:spacing w:after="80"/>
        <w:ind w:hanging="720"/>
        <w:rPr>
          <w:color w:val="434343"/>
          <w:lang w:eastAsia="ja-JP"/>
        </w:rPr>
      </w:pPr>
      <w:r>
        <w:rPr>
          <w:color w:val="434343"/>
          <w:lang w:eastAsia="ja-JP"/>
        </w:rPr>
        <w:t>(</w:t>
      </w:r>
      <w:r>
        <w:rPr>
          <w:i/>
          <w:color w:val="434343"/>
          <w:lang w:eastAsia="ja-JP"/>
        </w:rPr>
        <w:t>zusammen mit Christian Neumeier</w:t>
      </w:r>
      <w:r>
        <w:rPr>
          <w:color w:val="434343"/>
          <w:lang w:eastAsia="ja-JP"/>
        </w:rPr>
        <w:t xml:space="preserve">) Landesverfassungsrechtliche Besonderheiten der Vergesellschaftung privater Wohnungsunternehmen in Berlin, </w:t>
      </w:r>
      <w:r w:rsidR="006666D2">
        <w:rPr>
          <w:color w:val="434343"/>
          <w:lang w:eastAsia="ja-JP"/>
        </w:rPr>
        <w:t>LKV</w:t>
      </w:r>
      <w:r>
        <w:rPr>
          <w:color w:val="434343"/>
          <w:lang w:eastAsia="ja-JP"/>
        </w:rPr>
        <w:t xml:space="preserve"> 2019</w:t>
      </w:r>
      <w:r w:rsidR="006666D2">
        <w:rPr>
          <w:color w:val="434343"/>
          <w:lang w:eastAsia="ja-JP"/>
        </w:rPr>
        <w:t>, S. 385 – 399</w:t>
      </w:r>
    </w:p>
    <w:p w14:paraId="7641392E" w14:textId="090393C8" w:rsidR="00BB6481" w:rsidRPr="00FF3195" w:rsidRDefault="007021C8" w:rsidP="00CE4EBA">
      <w:pPr>
        <w:widowControl w:val="0"/>
        <w:numPr>
          <w:ilvl w:val="0"/>
          <w:numId w:val="5"/>
        </w:numPr>
        <w:tabs>
          <w:tab w:val="left" w:pos="220"/>
          <w:tab w:val="left" w:pos="720"/>
        </w:tabs>
        <w:autoSpaceDE w:val="0"/>
        <w:autoSpaceDN w:val="0"/>
        <w:adjustRightInd w:val="0"/>
        <w:spacing w:after="80"/>
        <w:ind w:hanging="720"/>
        <w:rPr>
          <w:color w:val="434343"/>
          <w:lang w:val="en-US" w:eastAsia="ja-JP"/>
        </w:rPr>
      </w:pPr>
      <w:r w:rsidRPr="00FF3195">
        <w:rPr>
          <w:color w:val="434343"/>
          <w:lang w:val="en-US" w:eastAsia="ja-JP"/>
        </w:rPr>
        <w:t>(</w:t>
      </w:r>
      <w:r w:rsidRPr="00FF3195">
        <w:rPr>
          <w:i/>
          <w:color w:val="434343"/>
          <w:lang w:val="en-US" w:eastAsia="ja-JP"/>
        </w:rPr>
        <w:t>zusammen mit Fabius Wittmer</w:t>
      </w:r>
      <w:r w:rsidRPr="00FF3195">
        <w:rPr>
          <w:color w:val="434343"/>
          <w:lang w:val="en-US" w:eastAsia="ja-JP"/>
        </w:rPr>
        <w:t>) Religious Education in Germany in Light of Religious Diversity: Constitutional Requirements for Religious Education, in: German Law Journal 20 (7), 1047-1065, doi: 10.1017/glj.2019.76</w:t>
      </w:r>
      <w:r w:rsidR="006666D2" w:rsidRPr="00FF3195">
        <w:rPr>
          <w:color w:val="434343"/>
          <w:lang w:val="en-US" w:eastAsia="ja-JP"/>
        </w:rPr>
        <w:t xml:space="preserve"> </w:t>
      </w:r>
      <w:r w:rsidR="00EE6627" w:rsidRPr="00FF3195">
        <w:rPr>
          <w:color w:val="434343"/>
          <w:lang w:val="en-US" w:eastAsia="ja-JP"/>
        </w:rPr>
        <w:t xml:space="preserve"> </w:t>
      </w:r>
    </w:p>
    <w:p w14:paraId="3B992F4E" w14:textId="70FC1B65" w:rsidR="00FF3195" w:rsidRPr="008A047E" w:rsidRDefault="008A047E" w:rsidP="008A047E">
      <w:pPr>
        <w:widowControl w:val="0"/>
        <w:numPr>
          <w:ilvl w:val="0"/>
          <w:numId w:val="5"/>
        </w:numPr>
        <w:tabs>
          <w:tab w:val="left" w:pos="220"/>
          <w:tab w:val="left" w:pos="720"/>
        </w:tabs>
        <w:autoSpaceDE w:val="0"/>
        <w:autoSpaceDN w:val="0"/>
        <w:adjustRightInd w:val="0"/>
        <w:spacing w:after="80"/>
        <w:ind w:hanging="720"/>
      </w:pPr>
      <w:r>
        <w:t xml:space="preserve">Die alte Frage der Steuerrechtfertigung – im Verfassungsstaat neu gestellt, in: Michael Droege/Christian Seiler (Hrsg.), Eigenständigkeit des Steuerrechts, Tübingen 2019, S. 63 – 78 </w:t>
      </w:r>
    </w:p>
    <w:p w14:paraId="5DBF051B" w14:textId="44948435" w:rsidR="005978ED" w:rsidRPr="005978ED" w:rsidRDefault="005978ED" w:rsidP="002C00FB">
      <w:pPr>
        <w:widowControl w:val="0"/>
        <w:numPr>
          <w:ilvl w:val="0"/>
          <w:numId w:val="5"/>
        </w:numPr>
        <w:tabs>
          <w:tab w:val="left" w:pos="220"/>
          <w:tab w:val="left" w:pos="720"/>
        </w:tabs>
        <w:autoSpaceDE w:val="0"/>
        <w:autoSpaceDN w:val="0"/>
        <w:adjustRightInd w:val="0"/>
        <w:spacing w:after="80"/>
        <w:ind w:hanging="720"/>
        <w:rPr>
          <w:color w:val="434343"/>
          <w:lang w:eastAsia="ja-JP"/>
        </w:rPr>
      </w:pPr>
      <w:r>
        <w:t xml:space="preserve">Das Steuerungspotenzial der Gesetzgebung, in: Wolfgang Kahl/Ute Mager (Hrsg.), Verwaltungsrechtswissenschaft und Verwaltungsrechtspraxis (=Arbeitsgespräche zum Verwaltungsrecht 1), Baden-Baden 2019, S. 261 – 283 </w:t>
      </w:r>
    </w:p>
    <w:p w14:paraId="7292E0BE" w14:textId="09C5C3AF" w:rsidR="004D3963" w:rsidRPr="004D3963" w:rsidRDefault="004D3963" w:rsidP="002C00FB">
      <w:pPr>
        <w:widowControl w:val="0"/>
        <w:numPr>
          <w:ilvl w:val="0"/>
          <w:numId w:val="5"/>
        </w:numPr>
        <w:tabs>
          <w:tab w:val="left" w:pos="220"/>
          <w:tab w:val="left" w:pos="720"/>
        </w:tabs>
        <w:autoSpaceDE w:val="0"/>
        <w:autoSpaceDN w:val="0"/>
        <w:adjustRightInd w:val="0"/>
        <w:spacing w:after="80"/>
        <w:ind w:hanging="720"/>
        <w:rPr>
          <w:color w:val="434343"/>
          <w:lang w:eastAsia="ja-JP"/>
        </w:rPr>
      </w:pPr>
      <w:r>
        <w:t xml:space="preserve">Gefährdungen der parlamentarischen Haushaltsautonomie, in: Theodor Baums/Hermann Remsperger/Michael Sachs/Volker Wieland (Hrsg.), Zentralbanken, Währungsunion und stabiles Finanzsystem. Festschrift für Helmut Siekmann, Berlin 2019, S. 419 – 437 </w:t>
      </w:r>
    </w:p>
    <w:p w14:paraId="0F2939C4" w14:textId="77777777" w:rsidR="004F3F0A" w:rsidRDefault="008B3651" w:rsidP="008B3651">
      <w:pPr>
        <w:widowControl w:val="0"/>
        <w:numPr>
          <w:ilvl w:val="0"/>
          <w:numId w:val="5"/>
        </w:numPr>
        <w:tabs>
          <w:tab w:val="left" w:pos="220"/>
          <w:tab w:val="left" w:pos="720"/>
        </w:tabs>
        <w:autoSpaceDE w:val="0"/>
        <w:autoSpaceDN w:val="0"/>
        <w:adjustRightInd w:val="0"/>
        <w:spacing w:after="80"/>
        <w:ind w:hanging="720"/>
      </w:pPr>
      <w:r>
        <w:t>Die reformierte Kontrolle der Nachrichtendienste durch das Parlamentarische Kontrollgremium und das Unabhängige Gremium, in: Jan-Hendrik Dietrich/Klaus Ferdinand Gärditz/Kurt Graulich/Christoph Gusy/Gunter Warg (Hrsg.), Reform der Nachrichtendienste zwischen Vergesetzlichung und Internationalisierung, Tübingen 2019, S. 73 – 89</w:t>
      </w:r>
    </w:p>
    <w:p w14:paraId="29D635D4" w14:textId="182DFEB7" w:rsidR="008B3651" w:rsidRPr="008B3651" w:rsidRDefault="008B3651" w:rsidP="004F3F0A">
      <w:pPr>
        <w:widowControl w:val="0"/>
        <w:numPr>
          <w:ilvl w:val="0"/>
          <w:numId w:val="5"/>
        </w:numPr>
        <w:tabs>
          <w:tab w:val="left" w:pos="220"/>
          <w:tab w:val="left" w:pos="720"/>
        </w:tabs>
        <w:autoSpaceDE w:val="0"/>
        <w:autoSpaceDN w:val="0"/>
        <w:adjustRightInd w:val="0"/>
        <w:spacing w:after="80"/>
        <w:ind w:hanging="720"/>
      </w:pPr>
      <w:r>
        <w:t xml:space="preserve"> </w:t>
      </w:r>
      <w:r w:rsidR="004F3F0A">
        <w:t>Theologische Fakultäten in einer säkularen Gesellschaft, in: Annette Schavan/Grego</w:t>
      </w:r>
      <w:r w:rsidR="001A6A26">
        <w:t>r Thüsing (Hrsg.), Kirchlicher D</w:t>
      </w:r>
      <w:r w:rsidR="004F3F0A">
        <w:t>ienst in säkularer Gesellschaft. Festschrift für Norbert Feldhoff zum 80. Geburtstag</w:t>
      </w:r>
      <w:r w:rsidR="00DE504D">
        <w:t xml:space="preserve"> (=Schriftenreihe zum kirchlichen Arbeitsrecht, 7)</w:t>
      </w:r>
      <w:r w:rsidR="004F3F0A">
        <w:t xml:space="preserve">, </w:t>
      </w:r>
      <w:r w:rsidR="00DE504D">
        <w:t xml:space="preserve">Freiburg i.Br. 2019, 607 – 624 </w:t>
      </w:r>
    </w:p>
    <w:p w14:paraId="3D551DE3" w14:textId="6EC45108" w:rsidR="00B04815" w:rsidRPr="005978ED" w:rsidRDefault="00BD4519" w:rsidP="002C00FB">
      <w:pPr>
        <w:widowControl w:val="0"/>
        <w:numPr>
          <w:ilvl w:val="0"/>
          <w:numId w:val="5"/>
        </w:numPr>
        <w:tabs>
          <w:tab w:val="left" w:pos="220"/>
          <w:tab w:val="left" w:pos="720"/>
        </w:tabs>
        <w:autoSpaceDE w:val="0"/>
        <w:autoSpaceDN w:val="0"/>
        <w:adjustRightInd w:val="0"/>
        <w:spacing w:after="80"/>
        <w:ind w:hanging="720"/>
        <w:rPr>
          <w:color w:val="434343"/>
          <w:lang w:eastAsia="ja-JP"/>
        </w:rPr>
      </w:pPr>
      <w:r w:rsidRPr="00BD4519">
        <w:t>Erfahrungen mit und rechtlicher Rahmen von Vermögensveräußerungen zur Bewältigung von Finanzkrisen aus deutscher Perspektive</w:t>
      </w:r>
      <w:r w:rsidR="002025DD" w:rsidRPr="005978ED">
        <w:rPr>
          <w:color w:val="434343"/>
          <w:lang w:eastAsia="ja-JP"/>
        </w:rPr>
        <w:t xml:space="preserve">, </w:t>
      </w:r>
      <w:r w:rsidR="00B60C93">
        <w:rPr>
          <w:color w:val="434343"/>
          <w:lang w:eastAsia="ja-JP"/>
        </w:rPr>
        <w:t>in:</w:t>
      </w:r>
      <w:r w:rsidRPr="005978ED">
        <w:rPr>
          <w:color w:val="434343"/>
          <w:lang w:eastAsia="ja-JP"/>
        </w:rPr>
        <w:t xml:space="preserve"> Theodora Antoniou</w:t>
      </w:r>
      <w:r w:rsidR="00B60C93">
        <w:rPr>
          <w:color w:val="434343"/>
          <w:lang w:eastAsia="ja-JP"/>
        </w:rPr>
        <w:t>/</w:t>
      </w:r>
      <w:r w:rsidRPr="005978ED">
        <w:rPr>
          <w:color w:val="434343"/>
          <w:lang w:eastAsia="ja-JP"/>
        </w:rPr>
        <w:t>Markus Heintzen</w:t>
      </w:r>
      <w:r w:rsidR="00B60C93">
        <w:rPr>
          <w:color w:val="434343"/>
          <w:lang w:eastAsia="ja-JP"/>
        </w:rPr>
        <w:t xml:space="preserve"> (Hrsg.),</w:t>
      </w:r>
      <w:r w:rsidRPr="005978ED">
        <w:rPr>
          <w:color w:val="434343"/>
          <w:lang w:eastAsia="ja-JP"/>
        </w:rPr>
        <w:t xml:space="preserve"> </w:t>
      </w:r>
      <w:r w:rsidR="00B60C93">
        <w:rPr>
          <w:color w:val="434343"/>
          <w:lang w:eastAsia="ja-JP"/>
        </w:rPr>
        <w:t>Staatsverschuldung und</w:t>
      </w:r>
      <w:r w:rsidR="003F5DDA" w:rsidRPr="005978ED">
        <w:rPr>
          <w:color w:val="434343"/>
          <w:lang w:eastAsia="ja-JP"/>
        </w:rPr>
        <w:t xml:space="preserve"> Eurokrise</w:t>
      </w:r>
      <w:r w:rsidR="00B60C93">
        <w:rPr>
          <w:color w:val="434343"/>
          <w:lang w:eastAsia="ja-JP"/>
        </w:rPr>
        <w:t xml:space="preserve"> im deutsch-griechischen Verfassungsdialog, Berlin 2020, S. 163 – 183 </w:t>
      </w:r>
    </w:p>
    <w:p w14:paraId="0FFD502E" w14:textId="66D601E8" w:rsidR="00F5308B" w:rsidRDefault="00F5308B" w:rsidP="00F5308B">
      <w:pPr>
        <w:widowControl w:val="0"/>
        <w:numPr>
          <w:ilvl w:val="0"/>
          <w:numId w:val="5"/>
        </w:numPr>
        <w:tabs>
          <w:tab w:val="left" w:pos="220"/>
          <w:tab w:val="left" w:pos="720"/>
        </w:tabs>
        <w:autoSpaceDE w:val="0"/>
        <w:autoSpaceDN w:val="0"/>
        <w:adjustRightInd w:val="0"/>
        <w:spacing w:after="80"/>
        <w:ind w:hanging="720"/>
      </w:pPr>
      <w:r>
        <w:t>(</w:t>
      </w:r>
      <w:r>
        <w:rPr>
          <w:i/>
        </w:rPr>
        <w:t>zusammen mit Holger Grefrath</w:t>
      </w:r>
      <w:r>
        <w:t>) Staatsverfassungsrecht vergeht, Kommunalverfassungsrecht besteht. Zur Entstehung und Interpretation von Art. 127 WRV, in: Horst Dreier/Christian Waldhoff (Hrsg.), Weimars Verfassung. Eine Bilanz nach 100 Jahren, Göttingen 2020, S. 275 – 304</w:t>
      </w:r>
    </w:p>
    <w:p w14:paraId="08194ACC" w14:textId="77777777" w:rsidR="006E65B5" w:rsidRDefault="003F4FF2" w:rsidP="00F5308B">
      <w:pPr>
        <w:widowControl w:val="0"/>
        <w:numPr>
          <w:ilvl w:val="0"/>
          <w:numId w:val="5"/>
        </w:numPr>
        <w:tabs>
          <w:tab w:val="left" w:pos="220"/>
          <w:tab w:val="left" w:pos="720"/>
        </w:tabs>
        <w:autoSpaceDE w:val="0"/>
        <w:autoSpaceDN w:val="0"/>
        <w:adjustRightInd w:val="0"/>
        <w:spacing w:after="80"/>
        <w:ind w:hanging="720"/>
      </w:pPr>
      <w:r>
        <w:lastRenderedPageBreak/>
        <w:t>Die</w:t>
      </w:r>
      <w:r w:rsidR="00F5308B">
        <w:t xml:space="preserve"> Reichsabgabenordnung</w:t>
      </w:r>
      <w:r>
        <w:t xml:space="preserve"> 1919 – Historischer Kontext, Entstehung, Vorbildfunktion, in: </w:t>
      </w:r>
      <w:r w:rsidR="00F5308B">
        <w:t>Steuer und Wirtschaft</w:t>
      </w:r>
      <w:r>
        <w:t xml:space="preserve"> 2020, S. 147 – 155</w:t>
      </w:r>
    </w:p>
    <w:p w14:paraId="2371F68F" w14:textId="73989CAB" w:rsidR="00F5308B" w:rsidRDefault="006E65B5" w:rsidP="006E65B5">
      <w:pPr>
        <w:widowControl w:val="0"/>
        <w:numPr>
          <w:ilvl w:val="0"/>
          <w:numId w:val="5"/>
        </w:numPr>
        <w:tabs>
          <w:tab w:val="left" w:pos="220"/>
          <w:tab w:val="left" w:pos="720"/>
        </w:tabs>
        <w:autoSpaceDE w:val="0"/>
        <w:autoSpaceDN w:val="0"/>
        <w:adjustRightInd w:val="0"/>
        <w:spacing w:after="80"/>
        <w:ind w:hanging="720"/>
      </w:pPr>
      <w:r>
        <w:t>Der „constitutional moment“ – Eine Typologie, wann und wie Verfassungen entstehen, in</w:t>
      </w:r>
      <w:r w:rsidR="003C01CD">
        <w:t xml:space="preserve">: </w:t>
      </w:r>
      <w:r>
        <w:t>Birgit Aschmann</w:t>
      </w:r>
      <w:r w:rsidR="003C01CD">
        <w:t>/</w:t>
      </w:r>
      <w:r>
        <w:t xml:space="preserve">Christian Waldhoff </w:t>
      </w:r>
      <w:r w:rsidR="003C01CD">
        <w:t xml:space="preserve">(Hrsg.), </w:t>
      </w:r>
      <w:r>
        <w:t xml:space="preserve">Die Spanische Verfassung von 1978. Entstehung – Praxis – </w:t>
      </w:r>
      <w:proofErr w:type="gramStart"/>
      <w:r>
        <w:t>Krise?</w:t>
      </w:r>
      <w:r w:rsidR="003C01CD">
        <w:t>,</w:t>
      </w:r>
      <w:proofErr w:type="gramEnd"/>
      <w:r>
        <w:t xml:space="preserve"> Münster</w:t>
      </w:r>
      <w:r w:rsidR="003C01CD">
        <w:t xml:space="preserve"> 2020, S. 47 – 70 </w:t>
      </w:r>
      <w:r w:rsidR="003F4FF2">
        <w:t xml:space="preserve"> </w:t>
      </w:r>
      <w:r w:rsidR="00F5308B">
        <w:t xml:space="preserve"> </w:t>
      </w:r>
    </w:p>
    <w:p w14:paraId="1C4DD129" w14:textId="1DD83107" w:rsidR="00B04815" w:rsidRDefault="00B04815" w:rsidP="00CE4EBA">
      <w:pPr>
        <w:widowControl w:val="0"/>
        <w:numPr>
          <w:ilvl w:val="0"/>
          <w:numId w:val="5"/>
        </w:numPr>
        <w:tabs>
          <w:tab w:val="left" w:pos="220"/>
          <w:tab w:val="left" w:pos="720"/>
        </w:tabs>
        <w:autoSpaceDE w:val="0"/>
        <w:autoSpaceDN w:val="0"/>
        <w:adjustRightInd w:val="0"/>
        <w:spacing w:after="80"/>
        <w:ind w:hanging="720"/>
      </w:pPr>
      <w:r>
        <w:t>(</w:t>
      </w:r>
      <w:r>
        <w:rPr>
          <w:i/>
        </w:rPr>
        <w:t>zusammen mit Dominik Rennert</w:t>
      </w:r>
      <w:r>
        <w:t>) Gesetzesmaterialien als juristische Paratexte, in</w:t>
      </w:r>
      <w:r w:rsidR="00DF1336">
        <w:t xml:space="preserve">: </w:t>
      </w:r>
      <w:r>
        <w:t>Dieter Grimm</w:t>
      </w:r>
      <w:r w:rsidR="00DF1336">
        <w:t>/</w:t>
      </w:r>
      <w:r>
        <w:t xml:space="preserve">Christoph König </w:t>
      </w:r>
      <w:r w:rsidR="00DF1336">
        <w:t>(H</w:t>
      </w:r>
      <w:r>
        <w:t>rsg.</w:t>
      </w:r>
      <w:r w:rsidR="00DF1336">
        <w:t>),</w:t>
      </w:r>
      <w:r>
        <w:t xml:space="preserve"> </w:t>
      </w:r>
      <w:r w:rsidR="00DF1336">
        <w:t>L</w:t>
      </w:r>
      <w:r w:rsidR="00EE6627">
        <w:t>ektüre und Geltung</w:t>
      </w:r>
      <w:r w:rsidR="00DF1336">
        <w:t>. Zur Verstehenspraxis in der Rechtswissenschaft und in der Literaturwissenschaft</w:t>
      </w:r>
      <w:r w:rsidR="00EE6627">
        <w:t>, Göttingen</w:t>
      </w:r>
      <w:r w:rsidR="00DF1336">
        <w:t xml:space="preserve"> 2020, S. 83 – 108 </w:t>
      </w:r>
    </w:p>
    <w:p w14:paraId="42186338" w14:textId="624DDA1C" w:rsidR="005C1D22" w:rsidRDefault="00B04815" w:rsidP="005C1D22">
      <w:pPr>
        <w:widowControl w:val="0"/>
        <w:numPr>
          <w:ilvl w:val="0"/>
          <w:numId w:val="5"/>
        </w:numPr>
        <w:tabs>
          <w:tab w:val="left" w:pos="220"/>
          <w:tab w:val="left" w:pos="720"/>
        </w:tabs>
        <w:autoSpaceDE w:val="0"/>
        <w:autoSpaceDN w:val="0"/>
        <w:adjustRightInd w:val="0"/>
        <w:spacing w:after="80"/>
        <w:ind w:hanging="720"/>
      </w:pPr>
      <w:r>
        <w:t>(</w:t>
      </w:r>
      <w:r>
        <w:rPr>
          <w:i/>
        </w:rPr>
        <w:t>zusammen mit Christian Neumeier</w:t>
      </w:r>
      <w:r>
        <w:t xml:space="preserve">) Contra legem – zu den Grenzen juristischer Textinterpretation, </w:t>
      </w:r>
      <w:r w:rsidR="00DF1336">
        <w:t xml:space="preserve">in: Dieter Grimm/Christoph König (Hrsg.), Lektüre und Geltung. Zur Verstehenspraxis in der Rechtswissenschaft und in der Literaturwissenschaft, Göttingen 2020, S. 221 </w:t>
      </w:r>
      <w:r w:rsidR="006E65B5">
        <w:t>–</w:t>
      </w:r>
      <w:r w:rsidR="00DF1336">
        <w:t xml:space="preserve"> </w:t>
      </w:r>
      <w:r w:rsidR="006E65B5">
        <w:t xml:space="preserve">244 </w:t>
      </w:r>
    </w:p>
    <w:p w14:paraId="2BB63D08" w14:textId="77777777" w:rsidR="00223BA9" w:rsidRDefault="005C1D22" w:rsidP="005C1D22">
      <w:pPr>
        <w:widowControl w:val="0"/>
        <w:numPr>
          <w:ilvl w:val="0"/>
          <w:numId w:val="5"/>
        </w:numPr>
        <w:tabs>
          <w:tab w:val="left" w:pos="220"/>
          <w:tab w:val="left" w:pos="720"/>
        </w:tabs>
        <w:autoSpaceDE w:val="0"/>
        <w:autoSpaceDN w:val="0"/>
        <w:adjustRightInd w:val="0"/>
        <w:spacing w:after="80"/>
        <w:ind w:hanging="720"/>
      </w:pPr>
      <w:r>
        <w:t>Finanzrecht, in: Rüdiger Voigt (Hrsg.), Aufbruch zur Demokratie. Die Weimarer Reichsverfassung als Bauplan für eine demokratische Republik, Baden-Baden 2020, S. 773 – 784</w:t>
      </w:r>
    </w:p>
    <w:p w14:paraId="3CA328D2" w14:textId="68B13837" w:rsidR="005C1D22" w:rsidRDefault="005C1D22" w:rsidP="00223BA9">
      <w:pPr>
        <w:widowControl w:val="0"/>
        <w:numPr>
          <w:ilvl w:val="0"/>
          <w:numId w:val="5"/>
        </w:numPr>
        <w:tabs>
          <w:tab w:val="left" w:pos="220"/>
          <w:tab w:val="left" w:pos="720"/>
        </w:tabs>
        <w:autoSpaceDE w:val="0"/>
        <w:autoSpaceDN w:val="0"/>
        <w:adjustRightInd w:val="0"/>
        <w:spacing w:after="80"/>
        <w:ind w:hanging="720"/>
      </w:pPr>
      <w:r>
        <w:t xml:space="preserve"> </w:t>
      </w:r>
      <w:r w:rsidR="00223BA9">
        <w:t>(</w:t>
      </w:r>
      <w:r w:rsidR="00223BA9">
        <w:rPr>
          <w:i/>
        </w:rPr>
        <w:t>zusammen mit Christian Neumeier</w:t>
      </w:r>
      <w:r w:rsidR="00223BA9">
        <w:t xml:space="preserve">) Vergesellschaftung von kirchlichen </w:t>
      </w:r>
      <w:proofErr w:type="gramStart"/>
      <w:r w:rsidR="00223BA9">
        <w:t>Wohnungsunternehmen?,</w:t>
      </w:r>
      <w:proofErr w:type="gramEnd"/>
      <w:r w:rsidR="00223BA9">
        <w:t xml:space="preserve"> in: Kirche und Recht 2020</w:t>
      </w:r>
      <w:r w:rsidR="002D378A">
        <w:t xml:space="preserve">/Heft </w:t>
      </w:r>
      <w:r w:rsidR="00896B3E">
        <w:t xml:space="preserve">2, S. 195 – 210  </w:t>
      </w:r>
      <w:r w:rsidR="00223BA9">
        <w:t xml:space="preserve"> </w:t>
      </w:r>
    </w:p>
    <w:p w14:paraId="57B18D7F" w14:textId="33B263F5" w:rsidR="00661E1D" w:rsidRDefault="0016034D" w:rsidP="00CE4EBA">
      <w:pPr>
        <w:widowControl w:val="0"/>
        <w:numPr>
          <w:ilvl w:val="0"/>
          <w:numId w:val="5"/>
        </w:numPr>
        <w:tabs>
          <w:tab w:val="left" w:pos="220"/>
          <w:tab w:val="left" w:pos="720"/>
        </w:tabs>
        <w:autoSpaceDE w:val="0"/>
        <w:autoSpaceDN w:val="0"/>
        <w:adjustRightInd w:val="0"/>
        <w:spacing w:after="80"/>
        <w:ind w:hanging="720"/>
      </w:pPr>
      <w:r>
        <w:t xml:space="preserve">Polizeistrafrecht im 19. </w:t>
      </w:r>
      <w:r w:rsidR="00FF3195">
        <w:t>u</w:t>
      </w:r>
      <w:r>
        <w:t>nd beginnenden 20. Jahrhundert</w:t>
      </w:r>
      <w:r w:rsidR="000B687E">
        <w:t xml:space="preserve"> als misslungener</w:t>
      </w:r>
      <w:r>
        <w:t xml:space="preserve"> </w:t>
      </w:r>
      <w:r w:rsidR="000B687E">
        <w:t>trans</w:t>
      </w:r>
      <w:r>
        <w:t>disziplinä</w:t>
      </w:r>
      <w:r w:rsidR="000B687E">
        <w:t>rer</w:t>
      </w:r>
      <w:r>
        <w:t xml:space="preserve"> Diskurs, </w:t>
      </w:r>
      <w:r w:rsidR="0003433C">
        <w:t>in: Gerald Kohl/Christian Neschwara/Thomas Olechowski/Josef Pauser/Ilse Reiter-Zatloukal/Milos Vec (Hrsg.), Festschrift für Thomas Simon zum 65. Geburtstag. Land, Policey, Verfassung, Wien 2020, S. 409 – 435</w:t>
      </w:r>
    </w:p>
    <w:p w14:paraId="5DB1720A" w14:textId="34511FEA" w:rsidR="00211ED2" w:rsidRDefault="00211ED2" w:rsidP="00CE4EBA">
      <w:pPr>
        <w:widowControl w:val="0"/>
        <w:numPr>
          <w:ilvl w:val="0"/>
          <w:numId w:val="5"/>
        </w:numPr>
        <w:tabs>
          <w:tab w:val="left" w:pos="220"/>
          <w:tab w:val="left" w:pos="720"/>
        </w:tabs>
        <w:autoSpaceDE w:val="0"/>
        <w:autoSpaceDN w:val="0"/>
        <w:adjustRightInd w:val="0"/>
        <w:spacing w:after="80"/>
        <w:ind w:hanging="720"/>
      </w:pPr>
      <w:r>
        <w:t>(</w:t>
      </w:r>
      <w:r>
        <w:rPr>
          <w:i/>
        </w:rPr>
        <w:t>zusammen mit Christian Neumeier</w:t>
      </w:r>
      <w:r>
        <w:t xml:space="preserve">) Kompromiss mit Polen und Ungarn: Aushebelung des </w:t>
      </w:r>
      <w:proofErr w:type="gramStart"/>
      <w:r>
        <w:t>Rechtsstaatsmechanismus?,</w:t>
      </w:r>
      <w:proofErr w:type="gramEnd"/>
      <w:r>
        <w:t xml:space="preserve"> ifo Schnelldienst 2/2021, S. 22 – 25 </w:t>
      </w:r>
    </w:p>
    <w:p w14:paraId="7D5508F9" w14:textId="49EBE853" w:rsidR="0016034D" w:rsidRDefault="00661E1D" w:rsidP="00211ED2">
      <w:pPr>
        <w:widowControl w:val="0"/>
        <w:numPr>
          <w:ilvl w:val="0"/>
          <w:numId w:val="5"/>
        </w:numPr>
        <w:tabs>
          <w:tab w:val="left" w:pos="220"/>
          <w:tab w:val="left" w:pos="720"/>
        </w:tabs>
        <w:autoSpaceDE w:val="0"/>
        <w:autoSpaceDN w:val="0"/>
        <w:adjustRightInd w:val="0"/>
        <w:spacing w:after="80"/>
        <w:ind w:hanging="720"/>
      </w:pPr>
      <w:r>
        <w:t xml:space="preserve">Staat und Verfassung – Vom Bismarckreich </w:t>
      </w:r>
      <w:r w:rsidR="00387254">
        <w:t xml:space="preserve">bis </w:t>
      </w:r>
      <w:r>
        <w:t>zu den „Reichsbürgern“</w:t>
      </w:r>
      <w:r w:rsidR="00387254">
        <w:t xml:space="preserve">. Zur Reichsgründung vor 150 Jahren, ihrer Bedeutung unter dem Grundgesetz und zu Fehlinterpretationen in der Gegenwart, JuS 2021, S. 289 – 297 </w:t>
      </w:r>
    </w:p>
    <w:p w14:paraId="06071D64" w14:textId="6C5137FE" w:rsidR="00BA6BF3" w:rsidRDefault="00BA6BF3" w:rsidP="00211ED2">
      <w:pPr>
        <w:widowControl w:val="0"/>
        <w:numPr>
          <w:ilvl w:val="0"/>
          <w:numId w:val="5"/>
        </w:numPr>
        <w:tabs>
          <w:tab w:val="left" w:pos="220"/>
          <w:tab w:val="left" w:pos="720"/>
        </w:tabs>
        <w:autoSpaceDE w:val="0"/>
        <w:autoSpaceDN w:val="0"/>
        <w:adjustRightInd w:val="0"/>
        <w:spacing w:after="80"/>
        <w:ind w:hanging="720"/>
      </w:pPr>
      <w:r>
        <w:t>(</w:t>
      </w:r>
      <w:r>
        <w:rPr>
          <w:i/>
        </w:rPr>
        <w:t>zusammen mit Lara Liese</w:t>
      </w:r>
      <w:r>
        <w:t>) Das verfassungspolitische Labor – Verfassungsentwicklung in Berlin 2004 – 2020, JöR 69 (2021)</w:t>
      </w:r>
      <w:r w:rsidR="00EF5199">
        <w:t xml:space="preserve">, S. 905 – 948 </w:t>
      </w:r>
      <w:r>
        <w:t xml:space="preserve"> </w:t>
      </w:r>
    </w:p>
    <w:p w14:paraId="3109AB0A" w14:textId="793498EC" w:rsidR="004D34C6" w:rsidRDefault="00F82FE8" w:rsidP="00CE4EBA">
      <w:pPr>
        <w:widowControl w:val="0"/>
        <w:numPr>
          <w:ilvl w:val="0"/>
          <w:numId w:val="5"/>
        </w:numPr>
        <w:tabs>
          <w:tab w:val="left" w:pos="220"/>
          <w:tab w:val="left" w:pos="720"/>
        </w:tabs>
        <w:autoSpaceDE w:val="0"/>
        <w:autoSpaceDN w:val="0"/>
        <w:adjustRightInd w:val="0"/>
        <w:spacing w:after="80"/>
        <w:ind w:hanging="720"/>
      </w:pPr>
      <w:r>
        <w:t xml:space="preserve">Sakrales Recht wird weltliches Recht. Die Rezeption religiöser Rechte im </w:t>
      </w:r>
      <w:r w:rsidR="00EF5199">
        <w:t>säkular</w:t>
      </w:r>
      <w:r>
        <w:t xml:space="preserve">en Staat, </w:t>
      </w:r>
      <w:r w:rsidR="00EF5199">
        <w:t>in: Thom</w:t>
      </w:r>
      <w:r w:rsidR="005A335B">
        <w:t>a</w:t>
      </w:r>
      <w:r w:rsidR="00EF5199">
        <w:t>s Lobinger/Ekkehart Reimer (Hrsg.), Religiöses Recht. Einflüsse, Entwicklungslinien und Erkenntnisquellen (=Miscellanea Juridica Heidelbergensia, 11), Heidelberg 2021, S. 27 – 38</w:t>
      </w:r>
    </w:p>
    <w:p w14:paraId="2417A4AA" w14:textId="77777777" w:rsidR="0080587B" w:rsidRDefault="004D34C6" w:rsidP="00CE4EBA">
      <w:pPr>
        <w:widowControl w:val="0"/>
        <w:numPr>
          <w:ilvl w:val="0"/>
          <w:numId w:val="5"/>
        </w:numPr>
        <w:tabs>
          <w:tab w:val="left" w:pos="220"/>
          <w:tab w:val="left" w:pos="720"/>
        </w:tabs>
        <w:autoSpaceDE w:val="0"/>
        <w:autoSpaceDN w:val="0"/>
        <w:adjustRightInd w:val="0"/>
        <w:spacing w:after="80"/>
        <w:ind w:hanging="720"/>
      </w:pPr>
      <w:r>
        <w:t xml:space="preserve">Der Bundesstaat in der </w:t>
      </w:r>
      <w:r w:rsidR="00C92684">
        <w:t xml:space="preserve">Pandemie, </w:t>
      </w:r>
      <w:r>
        <w:t>NJW</w:t>
      </w:r>
      <w:r w:rsidR="00EF5199">
        <w:t xml:space="preserve"> </w:t>
      </w:r>
      <w:r w:rsidR="00C92684">
        <w:t>2021, S. 2772 – 2777</w:t>
      </w:r>
    </w:p>
    <w:p w14:paraId="573EF134" w14:textId="77777777" w:rsidR="0088586C" w:rsidRDefault="0080587B" w:rsidP="00CE4EBA">
      <w:pPr>
        <w:widowControl w:val="0"/>
        <w:numPr>
          <w:ilvl w:val="0"/>
          <w:numId w:val="5"/>
        </w:numPr>
        <w:tabs>
          <w:tab w:val="left" w:pos="220"/>
          <w:tab w:val="left" w:pos="720"/>
        </w:tabs>
        <w:autoSpaceDE w:val="0"/>
        <w:autoSpaceDN w:val="0"/>
        <w:adjustRightInd w:val="0"/>
        <w:spacing w:after="80"/>
        <w:ind w:hanging="720"/>
      </w:pPr>
      <w:r>
        <w:t>Kollisionslösung durch Gesetz. Kommentar zu dem Referat von Mitsuhiro Matsubara, in: Matthias Jestaedt/Hidemi Suzuki (Hrsg.), Verfassungsentwicklung III. Deutsch-japanisches Verfassungsgespräch 2019, Tübingen 2021, S. 89 – 95</w:t>
      </w:r>
    </w:p>
    <w:p w14:paraId="0A3D5B2A" w14:textId="77777777" w:rsidR="00942B78" w:rsidRDefault="0088586C" w:rsidP="00CE4EBA">
      <w:pPr>
        <w:widowControl w:val="0"/>
        <w:numPr>
          <w:ilvl w:val="0"/>
          <w:numId w:val="5"/>
        </w:numPr>
        <w:tabs>
          <w:tab w:val="left" w:pos="220"/>
          <w:tab w:val="left" w:pos="720"/>
        </w:tabs>
        <w:autoSpaceDE w:val="0"/>
        <w:autoSpaceDN w:val="0"/>
        <w:adjustRightInd w:val="0"/>
        <w:spacing w:after="80"/>
        <w:ind w:hanging="720"/>
      </w:pPr>
      <w:r>
        <w:t xml:space="preserve">Was ist eigentlich … ein </w:t>
      </w:r>
      <w:proofErr w:type="gramStart"/>
      <w:r>
        <w:t>Sondervermögen?,</w:t>
      </w:r>
      <w:proofErr w:type="gramEnd"/>
      <w:r>
        <w:t xml:space="preserve"> JuS 2022, S. 319 – 320</w:t>
      </w:r>
    </w:p>
    <w:p w14:paraId="637ED939" w14:textId="71A723E8" w:rsidR="00F82FE8" w:rsidRDefault="00942B78" w:rsidP="00CE4EBA">
      <w:pPr>
        <w:widowControl w:val="0"/>
        <w:numPr>
          <w:ilvl w:val="0"/>
          <w:numId w:val="5"/>
        </w:numPr>
        <w:tabs>
          <w:tab w:val="left" w:pos="220"/>
          <w:tab w:val="left" w:pos="720"/>
        </w:tabs>
        <w:autoSpaceDE w:val="0"/>
        <w:autoSpaceDN w:val="0"/>
        <w:adjustRightInd w:val="0"/>
        <w:spacing w:after="80"/>
        <w:ind w:hanging="720"/>
      </w:pPr>
      <w:r>
        <w:t xml:space="preserve">Pandemiebekämpfung im Bundesstaat, in: Hans-Günter Henneke (Hrsg.), Funktionsfähigkeit des Bundesstaates und der Kreise auf dem Prüfstand, Stuttgart 2022, S. 147 – 154 </w:t>
      </w:r>
      <w:r w:rsidR="0088586C">
        <w:t xml:space="preserve"> </w:t>
      </w:r>
      <w:r w:rsidR="0080587B">
        <w:t xml:space="preserve"> </w:t>
      </w:r>
      <w:r w:rsidR="00C92684">
        <w:t xml:space="preserve"> </w:t>
      </w:r>
    </w:p>
    <w:p w14:paraId="12D19B2B" w14:textId="22FB5CC5" w:rsidR="0094279F" w:rsidRDefault="00502A17" w:rsidP="00CE4EBA">
      <w:pPr>
        <w:widowControl w:val="0"/>
        <w:numPr>
          <w:ilvl w:val="0"/>
          <w:numId w:val="5"/>
        </w:numPr>
        <w:tabs>
          <w:tab w:val="left" w:pos="220"/>
          <w:tab w:val="left" w:pos="720"/>
        </w:tabs>
        <w:autoSpaceDE w:val="0"/>
        <w:autoSpaceDN w:val="0"/>
        <w:adjustRightInd w:val="0"/>
        <w:spacing w:after="80"/>
        <w:ind w:hanging="720"/>
      </w:pPr>
      <w:r>
        <w:t>Kann sich das Bundesverfassungsgericht durchsetzen? Verfassungsrechtsprechung zwischen Autorität und Zwang, in</w:t>
      </w:r>
      <w:r w:rsidR="0094279F">
        <w:t>:</w:t>
      </w:r>
      <w:r>
        <w:t xml:space="preserve"> </w:t>
      </w:r>
      <w:r w:rsidR="0003433C">
        <w:t>T</w:t>
      </w:r>
      <w:r>
        <w:t>ill Patrik Holterhus</w:t>
      </w:r>
      <w:r w:rsidR="0094279F">
        <w:t>/</w:t>
      </w:r>
      <w:r>
        <w:t xml:space="preserve">Fabian Michl </w:t>
      </w:r>
      <w:r w:rsidR="0094279F">
        <w:t xml:space="preserve">(Hrsg.), </w:t>
      </w:r>
      <w:r>
        <w:t>Die schwache Gewalt? Zur Behauptung judikativer Autorität</w:t>
      </w:r>
      <w:r w:rsidR="0094279F">
        <w:t xml:space="preserve"> (=Politika 23), </w:t>
      </w:r>
      <w:r w:rsidR="00C522B9">
        <w:t>Tübingen</w:t>
      </w:r>
      <w:r w:rsidR="0094279F">
        <w:t xml:space="preserve"> 2022, S. 53 – 72</w:t>
      </w:r>
    </w:p>
    <w:p w14:paraId="2022BD05" w14:textId="4498A4E6" w:rsidR="001204A9" w:rsidRDefault="001204A9" w:rsidP="00CE4EBA">
      <w:pPr>
        <w:widowControl w:val="0"/>
        <w:numPr>
          <w:ilvl w:val="0"/>
          <w:numId w:val="5"/>
        </w:numPr>
        <w:tabs>
          <w:tab w:val="left" w:pos="220"/>
          <w:tab w:val="left" w:pos="720"/>
        </w:tabs>
        <w:autoSpaceDE w:val="0"/>
        <w:autoSpaceDN w:val="0"/>
        <w:adjustRightInd w:val="0"/>
        <w:spacing w:after="80"/>
        <w:ind w:hanging="720"/>
      </w:pPr>
      <w:r>
        <w:t xml:space="preserve">Renaissance der kommunalen Selbstverwaltung als Demokratieprojekt. Städte, Gemeinden und Kreise in der Formierungsphase des westdeutschen Verfassungsstaats </w:t>
      </w:r>
      <w:r>
        <w:lastRenderedPageBreak/>
        <w:t xml:space="preserve">nach 1945, </w:t>
      </w:r>
      <w:r w:rsidR="00450FE5">
        <w:t xml:space="preserve">in: Martin Burgi/Christian Waldhoff (Hrsg.), Kommunale Selbstverwaltung im Bundes- und Finanzstaat. Festschrift für Hans-Günter Henneke zum 65. Geburtstag, Hürth </w:t>
      </w:r>
      <w:r>
        <w:t>2022</w:t>
      </w:r>
      <w:r w:rsidR="00450FE5">
        <w:t>, S. 87 – 111</w:t>
      </w:r>
    </w:p>
    <w:p w14:paraId="02782BE6" w14:textId="0FAEBF78" w:rsidR="005A335B" w:rsidRDefault="005A335B" w:rsidP="005A335B">
      <w:pPr>
        <w:widowControl w:val="0"/>
        <w:numPr>
          <w:ilvl w:val="0"/>
          <w:numId w:val="5"/>
        </w:numPr>
        <w:tabs>
          <w:tab w:val="left" w:pos="220"/>
          <w:tab w:val="left" w:pos="720"/>
        </w:tabs>
        <w:autoSpaceDE w:val="0"/>
        <w:autoSpaceDN w:val="0"/>
        <w:adjustRightInd w:val="0"/>
        <w:spacing w:after="80"/>
        <w:ind w:hanging="720"/>
      </w:pPr>
      <w:r>
        <w:t xml:space="preserve">Universalität und Partikularität. Aufnahme und Pflege diplomatischer Beziehungen zwischen Deutschland und dem Hl. Stuhl als Problem zwischen Bundesstaats-, Völker- und Kirchenrecht, </w:t>
      </w:r>
      <w:r w:rsidR="0020214D">
        <w:t>in:</w:t>
      </w:r>
      <w:r>
        <w:t xml:space="preserve"> Günther Wassilowsky </w:t>
      </w:r>
      <w:r w:rsidR="0020214D">
        <w:t>(Hrsg.), Rom in Berlin. 100 Jahre diplomatische Beziehungen zwischen dem Heiligen Stuhl und Deutschland,</w:t>
      </w:r>
      <w:r>
        <w:t xml:space="preserve"> Freiburg i.Br.</w:t>
      </w:r>
      <w:r w:rsidR="0020214D">
        <w:t xml:space="preserve"> 2022, S. 71 – 126 </w:t>
      </w:r>
    </w:p>
    <w:p w14:paraId="6A2F82E8" w14:textId="21C27ECB" w:rsidR="009C447A" w:rsidRDefault="005A335B" w:rsidP="005A335B">
      <w:pPr>
        <w:widowControl w:val="0"/>
        <w:numPr>
          <w:ilvl w:val="0"/>
          <w:numId w:val="5"/>
        </w:numPr>
        <w:tabs>
          <w:tab w:val="left" w:pos="220"/>
          <w:tab w:val="left" w:pos="720"/>
        </w:tabs>
        <w:autoSpaceDE w:val="0"/>
        <w:autoSpaceDN w:val="0"/>
        <w:adjustRightInd w:val="0"/>
        <w:spacing w:after="80"/>
        <w:ind w:hanging="720"/>
      </w:pPr>
      <w:r>
        <w:t>(</w:t>
      </w:r>
      <w:r w:rsidRPr="000B0CDF">
        <w:rPr>
          <w:i/>
        </w:rPr>
        <w:t>zusammen mit Christian Neumeier</w:t>
      </w:r>
      <w:r>
        <w:t>) Abgeordnete und ihre Accounts. Zum verfassungsrechtlichen Schutz mandatsbezogener Kommunikation von Abgeordneten des Deutschen Bundestages, DÖV 2022, S. 569 – 580</w:t>
      </w:r>
    </w:p>
    <w:p w14:paraId="3D870092" w14:textId="1908E00B" w:rsidR="00D15F06" w:rsidRDefault="00D15F06" w:rsidP="005A335B">
      <w:pPr>
        <w:widowControl w:val="0"/>
        <w:numPr>
          <w:ilvl w:val="0"/>
          <w:numId w:val="5"/>
        </w:numPr>
        <w:tabs>
          <w:tab w:val="left" w:pos="220"/>
          <w:tab w:val="left" w:pos="720"/>
        </w:tabs>
        <w:autoSpaceDE w:val="0"/>
        <w:autoSpaceDN w:val="0"/>
        <w:adjustRightInd w:val="0"/>
        <w:spacing w:after="80"/>
        <w:ind w:hanging="720"/>
      </w:pPr>
      <w:r>
        <w:t>Das Leistungsfähigkeitsprinzip als Maßstab der Steuernormen – Wissenschaftliches Symposium zum Gedenken an Dieter Birk. Begrüßung, FR 2022, S. 677 – 679</w:t>
      </w:r>
    </w:p>
    <w:p w14:paraId="767CDF01" w14:textId="19188C42" w:rsidR="008C6F86" w:rsidRDefault="008C6F86" w:rsidP="005A335B">
      <w:pPr>
        <w:widowControl w:val="0"/>
        <w:numPr>
          <w:ilvl w:val="0"/>
          <w:numId w:val="5"/>
        </w:numPr>
        <w:tabs>
          <w:tab w:val="left" w:pos="220"/>
          <w:tab w:val="left" w:pos="720"/>
        </w:tabs>
        <w:autoSpaceDE w:val="0"/>
        <w:autoSpaceDN w:val="0"/>
        <w:adjustRightInd w:val="0"/>
        <w:spacing w:after="80"/>
        <w:ind w:hanging="720"/>
      </w:pPr>
      <w:r>
        <w:t xml:space="preserve">Gleichartig und gleichartig müssen nicht gleichartig sein. Zugleich Anmerkung zu BVerfG v. 22.3.2022, </w:t>
      </w:r>
      <w:r w:rsidR="004F23AA">
        <w:t xml:space="preserve">MwStR 2022, S. 648 – 651 </w:t>
      </w:r>
    </w:p>
    <w:p w14:paraId="057D8037" w14:textId="5138420A" w:rsidR="001204A9" w:rsidRDefault="001204A9" w:rsidP="00CE4EBA">
      <w:pPr>
        <w:widowControl w:val="0"/>
        <w:numPr>
          <w:ilvl w:val="0"/>
          <w:numId w:val="5"/>
        </w:numPr>
        <w:tabs>
          <w:tab w:val="left" w:pos="220"/>
          <w:tab w:val="left" w:pos="720"/>
        </w:tabs>
        <w:autoSpaceDE w:val="0"/>
        <w:autoSpaceDN w:val="0"/>
        <w:adjustRightInd w:val="0"/>
        <w:spacing w:after="80"/>
        <w:ind w:hanging="720"/>
      </w:pPr>
      <w:r>
        <w:t>Die Staatsrechtslehrervereinigung im Wandel von Selbstverständnis und Außenwahrnehmung</w:t>
      </w:r>
      <w:r w:rsidR="00AF678D">
        <w:t>. Die Jahre 1992 bis 2022</w:t>
      </w:r>
      <w:r>
        <w:t xml:space="preserve">, </w:t>
      </w:r>
      <w:r w:rsidR="000B7D35">
        <w:t>Pascale Cancik/Andreas Kley/Helmuth Schulze-Fielitz/Christian Waldhoff/Ewald Wiederin (Hrsg.),</w:t>
      </w:r>
      <w:r>
        <w:t xml:space="preserve"> Streitsache Staat. Die Vereinigung der deutschen Staatsrechtslehrer 1922 – 2022, Tübingen</w:t>
      </w:r>
      <w:r w:rsidR="000B7D35">
        <w:t xml:space="preserve"> 2022, S. 151 – 182 </w:t>
      </w:r>
    </w:p>
    <w:p w14:paraId="064D5583" w14:textId="77777777" w:rsidR="0023255D" w:rsidRDefault="00190C16" w:rsidP="00CE4EBA">
      <w:pPr>
        <w:widowControl w:val="0"/>
        <w:numPr>
          <w:ilvl w:val="0"/>
          <w:numId w:val="5"/>
        </w:numPr>
        <w:tabs>
          <w:tab w:val="left" w:pos="220"/>
          <w:tab w:val="left" w:pos="720"/>
        </w:tabs>
        <w:autoSpaceDE w:val="0"/>
        <w:autoSpaceDN w:val="0"/>
        <w:adjustRightInd w:val="0"/>
        <w:spacing w:after="80"/>
        <w:ind w:hanging="720"/>
      </w:pPr>
      <w:r>
        <w:t xml:space="preserve">Der Verfassungsstaat des Grundgesetzes im Schnittpunkt historischer Entwicklungslinien. </w:t>
      </w:r>
      <w:r w:rsidR="00E21011">
        <w:t xml:space="preserve">Historische und systematische Zugänge im staatsrechtlichen Werk Hasso Hofmanns, </w:t>
      </w:r>
      <w:r w:rsidR="00681854">
        <w:t>in:</w:t>
      </w:r>
      <w:r w:rsidR="00E21011">
        <w:t xml:space="preserve"> Horst Dreier</w:t>
      </w:r>
      <w:r w:rsidR="00681854">
        <w:t xml:space="preserve"> (Hrsg.),</w:t>
      </w:r>
      <w:r w:rsidR="00E21011">
        <w:t xml:space="preserve"> </w:t>
      </w:r>
      <w:r w:rsidR="00681854">
        <w:t>Repräsentation und Legitimität im Verfassungs- und Umweltstaat</w:t>
      </w:r>
      <w:r w:rsidR="000B7D35">
        <w:t>. Gedächtnissymposium für Hasso Hofmann</w:t>
      </w:r>
      <w:r w:rsidR="00681854">
        <w:t>, Berlin 2022, S. 9 – 36</w:t>
      </w:r>
    </w:p>
    <w:p w14:paraId="4F5EA036" w14:textId="77777777" w:rsidR="00BD7E5E" w:rsidRDefault="0023255D" w:rsidP="00CE4EBA">
      <w:pPr>
        <w:widowControl w:val="0"/>
        <w:numPr>
          <w:ilvl w:val="0"/>
          <w:numId w:val="5"/>
        </w:numPr>
        <w:tabs>
          <w:tab w:val="left" w:pos="220"/>
          <w:tab w:val="left" w:pos="720"/>
        </w:tabs>
        <w:autoSpaceDE w:val="0"/>
        <w:autoSpaceDN w:val="0"/>
        <w:adjustRightInd w:val="0"/>
        <w:spacing w:after="80"/>
        <w:ind w:hanging="720"/>
      </w:pPr>
      <w:r>
        <w:t>Der Koalitionsvertrag – Relevanz und föderale Finanzierungsinhalte, in: Hans-Günter Henneke (Hrsg.), Kommunalrelevanz des Vertrags der Ampel-Koalition, Stuttgart 2022, S. 11– 26</w:t>
      </w:r>
    </w:p>
    <w:p w14:paraId="358F1F06" w14:textId="7857F6B1" w:rsidR="00E21011" w:rsidRDefault="0023255D" w:rsidP="00BD7E5E">
      <w:pPr>
        <w:widowControl w:val="0"/>
        <w:numPr>
          <w:ilvl w:val="0"/>
          <w:numId w:val="5"/>
        </w:numPr>
        <w:tabs>
          <w:tab w:val="left" w:pos="220"/>
          <w:tab w:val="left" w:pos="720"/>
        </w:tabs>
        <w:autoSpaceDE w:val="0"/>
        <w:autoSpaceDN w:val="0"/>
        <w:adjustRightInd w:val="0"/>
        <w:spacing w:after="80"/>
        <w:ind w:hanging="720"/>
      </w:pPr>
      <w:r>
        <w:t xml:space="preserve"> </w:t>
      </w:r>
      <w:r w:rsidR="00BD7E5E">
        <w:t xml:space="preserve">Vorläufige Haushaltsführung und rückwirkende Subventionierung, LKV 2022, S. 543 – 549 </w:t>
      </w:r>
      <w:r w:rsidR="00681854">
        <w:t xml:space="preserve"> </w:t>
      </w:r>
    </w:p>
    <w:p w14:paraId="39913837" w14:textId="2D79B34C" w:rsidR="0054652E" w:rsidRDefault="000B7D35" w:rsidP="000B7D35">
      <w:pPr>
        <w:widowControl w:val="0"/>
        <w:numPr>
          <w:ilvl w:val="0"/>
          <w:numId w:val="5"/>
        </w:numPr>
        <w:tabs>
          <w:tab w:val="left" w:pos="220"/>
          <w:tab w:val="left" w:pos="720"/>
        </w:tabs>
        <w:autoSpaceDE w:val="0"/>
        <w:autoSpaceDN w:val="0"/>
        <w:adjustRightInd w:val="0"/>
        <w:spacing w:after="80"/>
        <w:ind w:hanging="720"/>
      </w:pPr>
      <w:r>
        <w:t xml:space="preserve">Staatsleistungen außerhalb der Staatsleistungen. Zukunftsperspektiven für die staatliche Förderung von Religionsgemeinschaften, </w:t>
      </w:r>
      <w:r w:rsidR="00471DCD">
        <w:t xml:space="preserve">in: </w:t>
      </w:r>
      <w:r w:rsidR="003C3D4E">
        <w:t>Arnd Uhle/Judith Wolf (Hrsg.), Ablösung der Staatsleistungen – Gefahr oder Chance für das Verhältnis von Staat und Kirche?</w:t>
      </w:r>
      <w:r>
        <w:t xml:space="preserve"> </w:t>
      </w:r>
      <w:r w:rsidR="003C3D4E">
        <w:t xml:space="preserve">(= </w:t>
      </w:r>
      <w:r>
        <w:t>Essener Gespräche zum Thema Staat und Kirche,</w:t>
      </w:r>
      <w:r w:rsidR="003C3D4E">
        <w:t xml:space="preserve"> 57), Münster 2023</w:t>
      </w:r>
      <w:r>
        <w:t xml:space="preserve"> S. 124 – 157</w:t>
      </w:r>
    </w:p>
    <w:p w14:paraId="738B1493" w14:textId="511D90DE" w:rsidR="00CF6F01" w:rsidRDefault="0054652E" w:rsidP="0054652E">
      <w:pPr>
        <w:widowControl w:val="0"/>
        <w:numPr>
          <w:ilvl w:val="0"/>
          <w:numId w:val="5"/>
        </w:numPr>
        <w:tabs>
          <w:tab w:val="left" w:pos="220"/>
          <w:tab w:val="left" w:pos="720"/>
        </w:tabs>
        <w:autoSpaceDE w:val="0"/>
        <w:autoSpaceDN w:val="0"/>
        <w:adjustRightInd w:val="0"/>
        <w:spacing w:after="80"/>
        <w:ind w:hanging="720"/>
      </w:pPr>
      <w:r>
        <w:t>Kolonial-Finanzverfassung. Die Finanzierung der deutschen Kolonien und deren Rückwirkungen auf die Verfassung des Kaiserreichs, in: Philipp Dann/Isabel Feichtner/Jochen von Bernstorff (Hrsg.), (Post)Koloniale Rechtswissenschaft, Tübingen 2023, S. 6</w:t>
      </w:r>
      <w:r w:rsidR="00DD3AFC">
        <w:t>7</w:t>
      </w:r>
      <w:r>
        <w:t xml:space="preserve"> – 9</w:t>
      </w:r>
      <w:r w:rsidR="00DD3AFC">
        <w:t>1</w:t>
      </w:r>
    </w:p>
    <w:p w14:paraId="4FD35495" w14:textId="77777777" w:rsidR="00471DCD" w:rsidRDefault="00DC7669" w:rsidP="0054652E">
      <w:pPr>
        <w:widowControl w:val="0"/>
        <w:numPr>
          <w:ilvl w:val="0"/>
          <w:numId w:val="5"/>
        </w:numPr>
        <w:tabs>
          <w:tab w:val="left" w:pos="220"/>
          <w:tab w:val="left" w:pos="720"/>
        </w:tabs>
        <w:autoSpaceDE w:val="0"/>
        <w:autoSpaceDN w:val="0"/>
        <w:adjustRightInd w:val="0"/>
        <w:spacing w:after="80"/>
        <w:ind w:hanging="720"/>
      </w:pPr>
      <w:r>
        <w:t xml:space="preserve">Wahlchaos und Wahlwiederholung. </w:t>
      </w:r>
      <w:r w:rsidR="00C873CF">
        <w:t>Zu</w:t>
      </w:r>
      <w:r w:rsidR="00CF6F01">
        <w:t>m Urteil des Verfassungsgerichtshofs</w:t>
      </w:r>
      <w:r>
        <w:t xml:space="preserve"> des Landes Berlin</w:t>
      </w:r>
      <w:r w:rsidR="00CF6F01">
        <w:t xml:space="preserve"> vom 16. </w:t>
      </w:r>
      <w:r w:rsidR="00C873CF">
        <w:t>11.</w:t>
      </w:r>
      <w:r w:rsidR="00CF6F01">
        <w:t xml:space="preserve"> 2022</w:t>
      </w:r>
      <w:r w:rsidR="00C873CF">
        <w:t xml:space="preserve"> – 154/21 u.a.</w:t>
      </w:r>
      <w:r>
        <w:t>, JZ</w:t>
      </w:r>
      <w:r w:rsidR="00C873CF">
        <w:t xml:space="preserve"> 2023, S. 134 – 144</w:t>
      </w:r>
    </w:p>
    <w:p w14:paraId="1DEAD355" w14:textId="77777777" w:rsidR="00955BC6" w:rsidRDefault="00471DCD" w:rsidP="0054652E">
      <w:pPr>
        <w:widowControl w:val="0"/>
        <w:numPr>
          <w:ilvl w:val="0"/>
          <w:numId w:val="5"/>
        </w:numPr>
        <w:tabs>
          <w:tab w:val="left" w:pos="220"/>
          <w:tab w:val="left" w:pos="720"/>
        </w:tabs>
        <w:autoSpaceDE w:val="0"/>
        <w:autoSpaceDN w:val="0"/>
        <w:adjustRightInd w:val="0"/>
        <w:spacing w:after="80"/>
        <w:ind w:hanging="720"/>
      </w:pPr>
      <w:r>
        <w:t>Steuerverfassungsrecht als Instrument eines prinzipiengeleiteten Steuerrechts</w:t>
      </w:r>
      <w:r w:rsidR="00BD7E5E">
        <w:t xml:space="preserve"> – d</w:t>
      </w:r>
      <w:r>
        <w:t>argestellt anhand des Leistungsfähigkeitsprinzips, DStR 2023</w:t>
      </w:r>
      <w:r w:rsidR="00BD7E5E">
        <w:t>, S. 381 – 386</w:t>
      </w:r>
    </w:p>
    <w:p w14:paraId="2061C7CA" w14:textId="220CE1C4" w:rsidR="00865D1A" w:rsidRDefault="00BD7E5E" w:rsidP="00955BC6">
      <w:pPr>
        <w:widowControl w:val="0"/>
        <w:numPr>
          <w:ilvl w:val="0"/>
          <w:numId w:val="5"/>
        </w:numPr>
        <w:tabs>
          <w:tab w:val="left" w:pos="220"/>
          <w:tab w:val="left" w:pos="720"/>
        </w:tabs>
        <w:autoSpaceDE w:val="0"/>
        <w:autoSpaceDN w:val="0"/>
        <w:adjustRightInd w:val="0"/>
        <w:spacing w:after="80"/>
        <w:ind w:hanging="720"/>
      </w:pPr>
      <w:r>
        <w:t xml:space="preserve"> </w:t>
      </w:r>
      <w:r w:rsidR="00955BC6">
        <w:t>Innere Angelegenheiten der Kirchen und religiös-weltanschauliche Neutralität des Staates. Überlegungen anlässlich des Missbrauchsskandals, in: Isabel Ley/Tine Stein/Georg Essen (Hrsg.), Semper reformanda. Das Verhältnis von Staat und Religion</w:t>
      </w:r>
      <w:r w:rsidR="00582E45">
        <w:t>sgemeinschaften</w:t>
      </w:r>
      <w:r w:rsidR="00955BC6">
        <w:t xml:space="preserve"> auf dem Prüfstand, Freiburg i.Br. 2023, S. 31 – 45</w:t>
      </w:r>
    </w:p>
    <w:p w14:paraId="6EDCFC45" w14:textId="77777777" w:rsidR="0035657C" w:rsidRDefault="000E7AA1" w:rsidP="00955BC6">
      <w:pPr>
        <w:widowControl w:val="0"/>
        <w:numPr>
          <w:ilvl w:val="0"/>
          <w:numId w:val="5"/>
        </w:numPr>
        <w:tabs>
          <w:tab w:val="left" w:pos="220"/>
          <w:tab w:val="left" w:pos="720"/>
        </w:tabs>
        <w:autoSpaceDE w:val="0"/>
        <w:autoSpaceDN w:val="0"/>
        <w:adjustRightInd w:val="0"/>
        <w:spacing w:after="80"/>
        <w:ind w:hanging="720"/>
      </w:pPr>
      <w:r>
        <w:t>(</w:t>
      </w:r>
      <w:r>
        <w:rPr>
          <w:i/>
          <w:iCs/>
        </w:rPr>
        <w:t>zusammen mit Michael Germann</w:t>
      </w:r>
      <w:r>
        <w:t xml:space="preserve">) Streitgespräch I: Kontroversen im Staatskirchenrecht – Impulse, in: Evangelischer Pressedienst, Dokumentation der XIX. </w:t>
      </w:r>
      <w:r>
        <w:lastRenderedPageBreak/>
        <w:t>Konsultation Kirchenleitung und wissenschaftliche Theologie, „Partnerin, Schulmeisterin, Dienstleisterin, Prophetin. Kirche und Theologie im Verfassungsstaat Bundesrepublik Deutschland“, Frankfurt a.M. 2023, S. 13 – 16</w:t>
      </w:r>
    </w:p>
    <w:p w14:paraId="6C81909D" w14:textId="154E2646" w:rsidR="000E7AA1" w:rsidRDefault="000E7AA1" w:rsidP="0035657C">
      <w:pPr>
        <w:widowControl w:val="0"/>
        <w:numPr>
          <w:ilvl w:val="0"/>
          <w:numId w:val="5"/>
        </w:numPr>
        <w:tabs>
          <w:tab w:val="left" w:pos="220"/>
          <w:tab w:val="left" w:pos="720"/>
        </w:tabs>
        <w:autoSpaceDE w:val="0"/>
        <w:autoSpaceDN w:val="0"/>
        <w:adjustRightInd w:val="0"/>
        <w:spacing w:after="80"/>
        <w:ind w:hanging="720"/>
      </w:pPr>
      <w:r>
        <w:t xml:space="preserve"> </w:t>
      </w:r>
      <w:r w:rsidR="0035657C">
        <w:t xml:space="preserve">Steuerrecht in der Inflation – der verfassungsrechtliche Rahmen für den Ausgleich der kalten Progression, FR 2023, S. 485 – 490  </w:t>
      </w:r>
    </w:p>
    <w:p w14:paraId="78B94F2F" w14:textId="2850E62E" w:rsidR="00904831" w:rsidRDefault="00865D1A" w:rsidP="00C873CF">
      <w:pPr>
        <w:widowControl w:val="0"/>
        <w:numPr>
          <w:ilvl w:val="0"/>
          <w:numId w:val="5"/>
        </w:numPr>
        <w:tabs>
          <w:tab w:val="left" w:pos="220"/>
          <w:tab w:val="left" w:pos="720"/>
        </w:tabs>
        <w:autoSpaceDE w:val="0"/>
        <w:autoSpaceDN w:val="0"/>
        <w:adjustRightInd w:val="0"/>
        <w:spacing w:after="80"/>
        <w:ind w:hanging="720"/>
      </w:pPr>
      <w:r>
        <w:t>Welche Bedeutung hat die Paulskirchenverfassung in der Gegenwart? Eine Würdigung, Der Landkreis 2023</w:t>
      </w:r>
      <w:r w:rsidR="006F3753">
        <w:t xml:space="preserve">, S. 45 – 47  </w:t>
      </w:r>
    </w:p>
    <w:p w14:paraId="43D80DAD" w14:textId="77777777" w:rsidR="001B5154" w:rsidRDefault="00BF412C" w:rsidP="00CE4EBA">
      <w:pPr>
        <w:widowControl w:val="0"/>
        <w:numPr>
          <w:ilvl w:val="0"/>
          <w:numId w:val="5"/>
        </w:numPr>
        <w:tabs>
          <w:tab w:val="left" w:pos="220"/>
          <w:tab w:val="left" w:pos="720"/>
        </w:tabs>
        <w:autoSpaceDE w:val="0"/>
        <w:autoSpaceDN w:val="0"/>
        <w:adjustRightInd w:val="0"/>
        <w:spacing w:after="80"/>
        <w:ind w:hanging="720"/>
      </w:pPr>
      <w:r>
        <w:t>(</w:t>
      </w:r>
      <w:r w:rsidRPr="00BF412C">
        <w:rPr>
          <w:i/>
        </w:rPr>
        <w:t>zusammen mit</w:t>
      </w:r>
      <w:r>
        <w:t xml:space="preserve"> </w:t>
      </w:r>
      <w:r>
        <w:rPr>
          <w:i/>
        </w:rPr>
        <w:t>Leif Böttcher</w:t>
      </w:r>
      <w:r>
        <w:t xml:space="preserve">) Rechtspolitische und verfassungsrechtliche Fragen des notariellen Gebührenrechts, </w:t>
      </w:r>
      <w:r w:rsidR="001B5154">
        <w:t xml:space="preserve">in: </w:t>
      </w:r>
      <w:r>
        <w:t>Festschrift</w:t>
      </w:r>
      <w:r w:rsidR="001B5154">
        <w:t xml:space="preserve"> für Oliver Vossius, Bonn 2023, S. 49 – 73</w:t>
      </w:r>
    </w:p>
    <w:p w14:paraId="14BA25DC" w14:textId="77777777" w:rsidR="00F04289" w:rsidRDefault="001B5154" w:rsidP="00CE4EBA">
      <w:pPr>
        <w:widowControl w:val="0"/>
        <w:numPr>
          <w:ilvl w:val="0"/>
          <w:numId w:val="5"/>
        </w:numPr>
        <w:tabs>
          <w:tab w:val="left" w:pos="220"/>
          <w:tab w:val="left" w:pos="720"/>
        </w:tabs>
        <w:autoSpaceDE w:val="0"/>
        <w:autoSpaceDN w:val="0"/>
        <w:adjustRightInd w:val="0"/>
        <w:spacing w:after="80"/>
        <w:ind w:hanging="720"/>
      </w:pPr>
      <w:r>
        <w:t>Entstehungsgeschichte des Grundgesetzes, in: Rechtsgeschichte 31 (2023), S. 207 – 209</w:t>
      </w:r>
    </w:p>
    <w:p w14:paraId="27327267" w14:textId="77777777" w:rsidR="00F04289" w:rsidRDefault="00F04289" w:rsidP="00CE4EBA">
      <w:pPr>
        <w:widowControl w:val="0"/>
        <w:numPr>
          <w:ilvl w:val="0"/>
          <w:numId w:val="5"/>
        </w:numPr>
        <w:tabs>
          <w:tab w:val="left" w:pos="220"/>
          <w:tab w:val="left" w:pos="720"/>
        </w:tabs>
        <w:autoSpaceDE w:val="0"/>
        <w:autoSpaceDN w:val="0"/>
        <w:adjustRightInd w:val="0"/>
        <w:spacing w:after="80"/>
        <w:ind w:hanging="720"/>
      </w:pPr>
      <w:r>
        <w:t>Kommunales Finanzrecht in den Verfassungsordnungen von Bund und Ländern, in: Hans-Günter Henneke/Christian Waldhoff (Hrsg.), Handbuch Recht der Kommunalfinanzen, 2. Aufl. München 2023, § 1 (S. 1 – 16)</w:t>
      </w:r>
    </w:p>
    <w:p w14:paraId="0EDFB49B" w14:textId="77777777" w:rsidR="00F04289" w:rsidRDefault="00F04289" w:rsidP="00CE4EBA">
      <w:pPr>
        <w:widowControl w:val="0"/>
        <w:numPr>
          <w:ilvl w:val="0"/>
          <w:numId w:val="5"/>
        </w:numPr>
        <w:tabs>
          <w:tab w:val="left" w:pos="220"/>
          <w:tab w:val="left" w:pos="720"/>
        </w:tabs>
        <w:autoSpaceDE w:val="0"/>
        <w:autoSpaceDN w:val="0"/>
        <w:adjustRightInd w:val="0"/>
        <w:spacing w:after="80"/>
        <w:ind w:hanging="720"/>
      </w:pPr>
      <w:r>
        <w:t>Entwicklung der kommunalen Finanzwirtschaft in historischer Perspektive, in: Hans-Günter Henneke/Christian Waldhoff (Hrsg.), Handbuch Recht der Kommunalfinanzen, 2. Aufl. München 2023, § 2 (S. 17 – 27)</w:t>
      </w:r>
    </w:p>
    <w:p w14:paraId="58C89609" w14:textId="77777777" w:rsidR="00F04289" w:rsidRDefault="00F04289" w:rsidP="00CE4EBA">
      <w:pPr>
        <w:widowControl w:val="0"/>
        <w:numPr>
          <w:ilvl w:val="0"/>
          <w:numId w:val="5"/>
        </w:numPr>
        <w:tabs>
          <w:tab w:val="left" w:pos="220"/>
          <w:tab w:val="left" w:pos="720"/>
        </w:tabs>
        <w:autoSpaceDE w:val="0"/>
        <w:autoSpaceDN w:val="0"/>
        <w:adjustRightInd w:val="0"/>
        <w:spacing w:after="80"/>
        <w:ind w:hanging="720"/>
      </w:pPr>
      <w:r>
        <w:t>Kommunale Einnahmen im Überblick, in: Hans-Günter Henneke/Christian Waldhoff (Hrsg.), Handbuch Recht der Kommunalfinanzen, 2. Aufl. München 2023, § 7 (S. 151 – 160)</w:t>
      </w:r>
    </w:p>
    <w:p w14:paraId="1B00A2DB" w14:textId="377A121E" w:rsidR="00BF412C" w:rsidRDefault="00F04289" w:rsidP="00CE4EBA">
      <w:pPr>
        <w:widowControl w:val="0"/>
        <w:numPr>
          <w:ilvl w:val="0"/>
          <w:numId w:val="5"/>
        </w:numPr>
        <w:tabs>
          <w:tab w:val="left" w:pos="220"/>
          <w:tab w:val="left" w:pos="720"/>
        </w:tabs>
        <w:autoSpaceDE w:val="0"/>
        <w:autoSpaceDN w:val="0"/>
        <w:adjustRightInd w:val="0"/>
        <w:spacing w:after="80"/>
        <w:ind w:hanging="720"/>
      </w:pPr>
      <w:r>
        <w:t>Örtliche Verbrauch- und Aufwandsteuern, in: Hans-Günter Henneke/Christian Waldhoff (Hrsg.), Handbuch Recht der Kommunalfinanzen, 2. Aufl. München 2023, § 13 (S. 317 – 345)</w:t>
      </w:r>
      <w:r w:rsidR="001B5154">
        <w:t xml:space="preserve"> </w:t>
      </w:r>
    </w:p>
    <w:p w14:paraId="1B5124FC" w14:textId="77777777" w:rsidR="008817E0" w:rsidRDefault="005F7BF4" w:rsidP="00481AF1">
      <w:pPr>
        <w:widowControl w:val="0"/>
        <w:numPr>
          <w:ilvl w:val="0"/>
          <w:numId w:val="5"/>
        </w:numPr>
        <w:tabs>
          <w:tab w:val="left" w:pos="220"/>
          <w:tab w:val="left" w:pos="720"/>
        </w:tabs>
        <w:autoSpaceDE w:val="0"/>
        <w:autoSpaceDN w:val="0"/>
        <w:adjustRightInd w:val="0"/>
        <w:spacing w:after="80"/>
        <w:ind w:hanging="720"/>
      </w:pPr>
      <w:r>
        <w:t xml:space="preserve">Von der Rindfleischetikettierung zum Knorpelfleisch – Blankettstrafgesetze zwischen Verfassungsrecht, Verwaltungsrecht und Legistik, </w:t>
      </w:r>
      <w:r w:rsidR="008817E0">
        <w:t>in: Camilla Bertheau/Werner Beulke/Matthias Jahn/Anke Müller-Jacobsen/Charlotte Schmitt-Leonardy (Hrsg.), Festschrift für Alexander Ignor zum 70. Geburtstag, Heidelberg 2023, S. 211 – 226</w:t>
      </w:r>
    </w:p>
    <w:p w14:paraId="33F1CD4E" w14:textId="70602005" w:rsidR="006A2DE8" w:rsidRDefault="006A2DE8" w:rsidP="006A2DE8">
      <w:pPr>
        <w:widowControl w:val="0"/>
        <w:numPr>
          <w:ilvl w:val="0"/>
          <w:numId w:val="5"/>
        </w:numPr>
        <w:tabs>
          <w:tab w:val="left" w:pos="220"/>
          <w:tab w:val="left" w:pos="720"/>
        </w:tabs>
        <w:autoSpaceDE w:val="0"/>
        <w:autoSpaceDN w:val="0"/>
        <w:adjustRightInd w:val="0"/>
        <w:spacing w:after="80"/>
        <w:ind w:hanging="720"/>
      </w:pPr>
      <w:r>
        <w:t xml:space="preserve">Die Autonomie der jüdischen Religionsgemeinschaften im staatlichen Recht, in: Zentralrat der Juden in Deutschland (Hrsg.), Autonomie und Gesetz: Zum Verhältnis von Staat und Religion. Die jüdische Gemeinschaft in Deutschland, Leipzig 2023, S. 83 – 111 </w:t>
      </w:r>
    </w:p>
    <w:p w14:paraId="1A43E5AC" w14:textId="77777777" w:rsidR="006A2DE8" w:rsidRDefault="00EE55A7" w:rsidP="00EE55A7">
      <w:pPr>
        <w:widowControl w:val="0"/>
        <w:numPr>
          <w:ilvl w:val="0"/>
          <w:numId w:val="5"/>
        </w:numPr>
        <w:tabs>
          <w:tab w:val="left" w:pos="220"/>
          <w:tab w:val="left" w:pos="720"/>
        </w:tabs>
        <w:autoSpaceDE w:val="0"/>
        <w:autoSpaceDN w:val="0"/>
        <w:adjustRightInd w:val="0"/>
        <w:spacing w:after="80"/>
        <w:ind w:hanging="720"/>
      </w:pPr>
      <w:r>
        <w:t>(</w:t>
      </w:r>
      <w:r>
        <w:rPr>
          <w:i/>
          <w:iCs/>
        </w:rPr>
        <w:t>zusammen mit Kubilay Yalçin</w:t>
      </w:r>
      <w:r>
        <w:t>) Bundeswehrfinanzierung zwischen 100 Milliarden-Sondervermögen und „Zwei-Prozent-Ziel“. Historische und rechtsdogmatische Überlegungen zur Finanzierung von Streitkräften, JZ 2024, S. 8 – 18</w:t>
      </w:r>
    </w:p>
    <w:p w14:paraId="2DF61CE6" w14:textId="04712B78" w:rsidR="00EE55A7" w:rsidRDefault="006A2DE8" w:rsidP="006A2DE8">
      <w:pPr>
        <w:widowControl w:val="0"/>
        <w:numPr>
          <w:ilvl w:val="0"/>
          <w:numId w:val="5"/>
        </w:numPr>
        <w:tabs>
          <w:tab w:val="left" w:pos="220"/>
          <w:tab w:val="left" w:pos="720"/>
        </w:tabs>
        <w:autoSpaceDE w:val="0"/>
        <w:autoSpaceDN w:val="0"/>
        <w:adjustRightInd w:val="0"/>
        <w:spacing w:after="80"/>
        <w:ind w:hanging="720"/>
      </w:pPr>
      <w:r>
        <w:t>Hasso Hofmann (1934-2021), in: Peter Häberle/Michael Kilian/Heinrich Amadeus Wolff (Hrsg.), Staatsrechtslehrer des 20. Jahrhunderts. Nachtragsband. Deutschland-Österrich-Schweiz, Berlin 2024, S. 1</w:t>
      </w:r>
      <w:r w:rsidR="00135D30">
        <w:t>81</w:t>
      </w:r>
      <w:r>
        <w:t xml:space="preserve"> – 1</w:t>
      </w:r>
      <w:r w:rsidR="00135D30">
        <w:t>90</w:t>
      </w:r>
      <w:r w:rsidR="00EE55A7">
        <w:t xml:space="preserve"> </w:t>
      </w:r>
    </w:p>
    <w:p w14:paraId="35CC790B" w14:textId="2ABFCB64" w:rsidR="0020098C" w:rsidRDefault="007C3DBF" w:rsidP="00E13C8E">
      <w:pPr>
        <w:widowControl w:val="0"/>
        <w:numPr>
          <w:ilvl w:val="0"/>
          <w:numId w:val="5"/>
        </w:numPr>
        <w:tabs>
          <w:tab w:val="left" w:pos="220"/>
          <w:tab w:val="left" w:pos="720"/>
        </w:tabs>
        <w:autoSpaceDE w:val="0"/>
        <w:autoSpaceDN w:val="0"/>
        <w:adjustRightInd w:val="0"/>
        <w:spacing w:after="80"/>
        <w:ind w:hanging="720"/>
      </w:pPr>
      <w:r>
        <w:t>Politik und Gesetzgebung in Zeiten der Schuldenbremse – zum Urteil des Bundesverfassungsgerichts zum zweiten Nachtragshaushaltsgesetz 202</w:t>
      </w:r>
      <w:r w:rsidR="00292572">
        <w:t>1</w:t>
      </w:r>
      <w:r>
        <w:t xml:space="preserve">, </w:t>
      </w:r>
      <w:r w:rsidR="009F2F4D">
        <w:t>ZG</w:t>
      </w:r>
      <w:r>
        <w:t xml:space="preserve"> 2024</w:t>
      </w:r>
      <w:r w:rsidR="009F2F4D">
        <w:t>, S. 83 – 94</w:t>
      </w:r>
    </w:p>
    <w:p w14:paraId="5FC879E5" w14:textId="6A5E8178" w:rsidR="00D64DC2" w:rsidRDefault="000F69C8" w:rsidP="000F69C8">
      <w:pPr>
        <w:widowControl w:val="0"/>
        <w:numPr>
          <w:ilvl w:val="0"/>
          <w:numId w:val="5"/>
        </w:numPr>
        <w:tabs>
          <w:tab w:val="left" w:pos="220"/>
          <w:tab w:val="left" w:pos="720"/>
        </w:tabs>
        <w:autoSpaceDE w:val="0"/>
        <w:autoSpaceDN w:val="0"/>
        <w:adjustRightInd w:val="0"/>
        <w:spacing w:after="80"/>
        <w:ind w:hanging="720"/>
      </w:pPr>
      <w:r>
        <w:t>Rechtsprobleme religiöser Feiertage zwischen Mehrheits- und Minderheitsreligionen – untersucht für jüdische Feiertage in den Bereichen Schule und Hochschule in Berlin, LKV 2024, S. 2</w:t>
      </w:r>
      <w:r w:rsidR="00D73B5D">
        <w:t xml:space="preserve">85 – 203 </w:t>
      </w:r>
    </w:p>
    <w:p w14:paraId="09D92D43" w14:textId="1D4C8314" w:rsidR="00E13C8E" w:rsidRPr="000F69C8" w:rsidRDefault="00D64DC2" w:rsidP="00D64DC2">
      <w:pPr>
        <w:widowControl w:val="0"/>
        <w:numPr>
          <w:ilvl w:val="0"/>
          <w:numId w:val="5"/>
        </w:numPr>
        <w:tabs>
          <w:tab w:val="left" w:pos="220"/>
          <w:tab w:val="left" w:pos="720"/>
        </w:tabs>
        <w:autoSpaceDE w:val="0"/>
        <w:autoSpaceDN w:val="0"/>
        <w:adjustRightInd w:val="0"/>
        <w:spacing w:after="80"/>
        <w:ind w:hanging="720"/>
      </w:pPr>
      <w:r>
        <w:t xml:space="preserve">Zum Verhältnis von Verfassungsrecht und Verfassungsgeschichte. Entwicklung, Bestandsaufnahme, Zukunft, JöR 72 (2024), S. 481 – 494 </w:t>
      </w:r>
    </w:p>
    <w:p w14:paraId="503309B9" w14:textId="68EE984A" w:rsidR="007D3B21" w:rsidRDefault="00876534" w:rsidP="00EE55A7">
      <w:pPr>
        <w:widowControl w:val="0"/>
        <w:numPr>
          <w:ilvl w:val="0"/>
          <w:numId w:val="5"/>
        </w:numPr>
        <w:tabs>
          <w:tab w:val="left" w:pos="220"/>
          <w:tab w:val="left" w:pos="720"/>
        </w:tabs>
        <w:autoSpaceDE w:val="0"/>
        <w:autoSpaceDN w:val="0"/>
        <w:adjustRightInd w:val="0"/>
        <w:spacing w:after="80"/>
        <w:ind w:hanging="720"/>
      </w:pPr>
      <w:r>
        <w:t xml:space="preserve">Verfassungsfeindliche </w:t>
      </w:r>
      <w:r w:rsidR="007D3B21" w:rsidRPr="007D3B21">
        <w:t>politische Parteien und Wählergemeinschaften i</w:t>
      </w:r>
      <w:r>
        <w:t>n den Kommunen, in:</w:t>
      </w:r>
      <w:r w:rsidR="00FC4CF0">
        <w:t xml:space="preserve"> Hans-Günter Henneke</w:t>
      </w:r>
      <w:r>
        <w:t xml:space="preserve"> (Hrsg.),</w:t>
      </w:r>
      <w:r w:rsidR="00FC4CF0">
        <w:t xml:space="preserve"> </w:t>
      </w:r>
      <w:r>
        <w:t xml:space="preserve">Kommunale Demokratie zwischen </w:t>
      </w:r>
      <w:r>
        <w:lastRenderedPageBreak/>
        <w:t>Beteiligungschancen und Radikalisierungsgefahren, Stuttgart 2024, S. 195 – 216 (</w:t>
      </w:r>
      <w:r w:rsidR="006E023E">
        <w:t xml:space="preserve">unter dem Titel: Rechtsfragen politischer Parteien und Wählergemeinschaften im kommunalen Bereich, insbesondere die Problematik der Verfassungsfeindlichkeit, </w:t>
      </w:r>
      <w:r w:rsidR="009F2F4D">
        <w:t>Der Landkreis</w:t>
      </w:r>
      <w:r>
        <w:t xml:space="preserve"> 2024</w:t>
      </w:r>
      <w:r w:rsidR="006E023E">
        <w:t>, S. 283 – 289</w:t>
      </w:r>
      <w:r>
        <w:t>)</w:t>
      </w:r>
    </w:p>
    <w:p w14:paraId="01C91E30" w14:textId="77777777" w:rsidR="00F379EB" w:rsidRDefault="00292572" w:rsidP="00EE55A7">
      <w:pPr>
        <w:widowControl w:val="0"/>
        <w:numPr>
          <w:ilvl w:val="0"/>
          <w:numId w:val="5"/>
        </w:numPr>
        <w:tabs>
          <w:tab w:val="left" w:pos="220"/>
          <w:tab w:val="left" w:pos="720"/>
        </w:tabs>
        <w:autoSpaceDE w:val="0"/>
        <w:autoSpaceDN w:val="0"/>
        <w:adjustRightInd w:val="0"/>
        <w:spacing w:after="80"/>
        <w:ind w:hanging="720"/>
      </w:pPr>
      <w:r>
        <w:t>Bewältigung zukünftiger Krisen, NJW</w:t>
      </w:r>
      <w:r w:rsidR="00F379EB">
        <w:t xml:space="preserve"> 2024, S. 2729 – 2733</w:t>
      </w:r>
    </w:p>
    <w:p w14:paraId="5AAC268A" w14:textId="065DB363" w:rsidR="00292572" w:rsidRDefault="00F379EB" w:rsidP="00EE55A7">
      <w:pPr>
        <w:widowControl w:val="0"/>
        <w:numPr>
          <w:ilvl w:val="0"/>
          <w:numId w:val="5"/>
        </w:numPr>
        <w:tabs>
          <w:tab w:val="left" w:pos="220"/>
          <w:tab w:val="left" w:pos="720"/>
        </w:tabs>
        <w:autoSpaceDE w:val="0"/>
        <w:autoSpaceDN w:val="0"/>
        <w:adjustRightInd w:val="0"/>
        <w:spacing w:after="80"/>
        <w:ind w:hanging="720"/>
      </w:pPr>
      <w:r>
        <w:t xml:space="preserve">Private Gesetzentwürfe, ZG 2024, S. 203 – 228  </w:t>
      </w:r>
    </w:p>
    <w:p w14:paraId="13F8A4F0" w14:textId="77777777" w:rsidR="00C227CB" w:rsidRDefault="00964E0F" w:rsidP="00964E0F">
      <w:pPr>
        <w:widowControl w:val="0"/>
        <w:numPr>
          <w:ilvl w:val="0"/>
          <w:numId w:val="5"/>
        </w:numPr>
        <w:tabs>
          <w:tab w:val="left" w:pos="220"/>
          <w:tab w:val="left" w:pos="720"/>
        </w:tabs>
        <w:autoSpaceDE w:val="0"/>
        <w:autoSpaceDN w:val="0"/>
        <w:adjustRightInd w:val="0"/>
        <w:spacing w:after="80"/>
        <w:ind w:hanging="720"/>
      </w:pPr>
      <w:r>
        <w:t>Der Körperschaftsstatus von Religionsgemeinschaften als Unterscheidungsmerkmal im Steuerrecht, in: Markus Heintzen/Andreas Richter/Thomas Stapperfend/Christian Waldhoff (Hrsg.), Steuerkritik. Gedächtnisschrift für Andreas Musil, Köln 2024, S. 773 – 786</w:t>
      </w:r>
    </w:p>
    <w:p w14:paraId="310017FA" w14:textId="77777777" w:rsidR="002B648C" w:rsidRDefault="00C227CB" w:rsidP="00C227CB">
      <w:pPr>
        <w:widowControl w:val="0"/>
        <w:numPr>
          <w:ilvl w:val="0"/>
          <w:numId w:val="5"/>
        </w:numPr>
        <w:tabs>
          <w:tab w:val="left" w:pos="220"/>
          <w:tab w:val="left" w:pos="720"/>
        </w:tabs>
        <w:autoSpaceDE w:val="0"/>
        <w:autoSpaceDN w:val="0"/>
        <w:adjustRightInd w:val="0"/>
        <w:spacing w:after="80"/>
        <w:ind w:hanging="720"/>
      </w:pPr>
      <w:r>
        <w:t>Verfassungsdidaktik. Überlegungen zu Chancen und Grenzen der Vermittlung des Grundgesetzes, in: Hans Hofmann (Hrsg.), Zeiten der Bewährung. Festschrift 75 Jahre Grundgesetz, Hürth 2024</w:t>
      </w:r>
      <w:r w:rsidR="00D36FDD">
        <w:t>, S. 639 – 660</w:t>
      </w:r>
    </w:p>
    <w:p w14:paraId="684B1D16" w14:textId="0EA9EEDE" w:rsidR="00C227CB" w:rsidRDefault="00D36FDD" w:rsidP="002B648C">
      <w:pPr>
        <w:widowControl w:val="0"/>
        <w:numPr>
          <w:ilvl w:val="0"/>
          <w:numId w:val="5"/>
        </w:numPr>
        <w:tabs>
          <w:tab w:val="left" w:pos="220"/>
          <w:tab w:val="left" w:pos="720"/>
        </w:tabs>
        <w:autoSpaceDE w:val="0"/>
        <w:autoSpaceDN w:val="0"/>
        <w:adjustRightInd w:val="0"/>
        <w:spacing w:after="80"/>
        <w:ind w:hanging="720"/>
      </w:pPr>
      <w:r>
        <w:t xml:space="preserve"> </w:t>
      </w:r>
      <w:r w:rsidR="002B648C">
        <w:t>(</w:t>
      </w:r>
      <w:r w:rsidR="002B648C">
        <w:rPr>
          <w:i/>
        </w:rPr>
        <w:t>zusammen mit Cristina Gilfrich</w:t>
      </w:r>
      <w:r w:rsidR="002B648C">
        <w:t xml:space="preserve">) Rechtsprechung zum Parlamentsrecht auf Landesebene seit 2018, ZParl. 55 (2024), S. 485 – 505  </w:t>
      </w:r>
    </w:p>
    <w:p w14:paraId="06CA5DA5" w14:textId="5117E134" w:rsidR="00D73B5D" w:rsidRPr="00D73B5D" w:rsidRDefault="00D73B5D" w:rsidP="00D73B5D">
      <w:pPr>
        <w:widowControl w:val="0"/>
        <w:numPr>
          <w:ilvl w:val="0"/>
          <w:numId w:val="5"/>
        </w:numPr>
        <w:tabs>
          <w:tab w:val="left" w:pos="220"/>
          <w:tab w:val="left" w:pos="720"/>
        </w:tabs>
        <w:autoSpaceDE w:val="0"/>
        <w:autoSpaceDN w:val="0"/>
        <w:adjustRightInd w:val="0"/>
        <w:spacing w:after="80"/>
        <w:ind w:hanging="720"/>
        <w:rPr>
          <w:lang w:val="en-US"/>
        </w:rPr>
      </w:pPr>
      <w:r w:rsidRPr="0020098C">
        <w:rPr>
          <w:lang w:val="en-US"/>
        </w:rPr>
        <w:t>The debt brake as a means of intertemporally safeguarding freedo</w:t>
      </w:r>
      <w:r>
        <w:rPr>
          <w:lang w:val="en-US"/>
        </w:rPr>
        <w:t>m – On the Ruling of the German Federal Constituitional Court on the</w:t>
      </w:r>
      <w:bookmarkStart w:id="0" w:name="_GoBack"/>
      <w:bookmarkEnd w:id="0"/>
      <w:r>
        <w:rPr>
          <w:lang w:val="en-US"/>
        </w:rPr>
        <w:t xml:space="preserve"> Second Suplementary Budget Act 2021 (Zweites Nachtragshaushaltsgesetz 2021), in</w:t>
      </w:r>
      <w:r w:rsidR="00BD447D">
        <w:rPr>
          <w:lang w:val="en-US"/>
        </w:rPr>
        <w:t>:</w:t>
      </w:r>
      <w:r>
        <w:rPr>
          <w:lang w:val="en-US"/>
        </w:rPr>
        <w:t xml:space="preserve"> European Constitutional Law Review</w:t>
      </w:r>
      <w:r w:rsidR="00BD447D">
        <w:rPr>
          <w:lang w:val="en-US"/>
        </w:rPr>
        <w:t xml:space="preserve"> 2024</w:t>
      </w:r>
      <w:r w:rsidR="007D5371">
        <w:rPr>
          <w:lang w:val="en-US"/>
        </w:rPr>
        <w:t xml:space="preserve">: </w:t>
      </w:r>
      <w:hyperlink r:id="rId9" w:history="1">
        <w:r w:rsidR="007D5371" w:rsidRPr="00F32EFF">
          <w:rPr>
            <w:rStyle w:val="Hyperlink"/>
            <w:lang w:val="en-US"/>
          </w:rPr>
          <w:t>https://doi.org/101017/S157401962000221</w:t>
        </w:r>
      </w:hyperlink>
      <w:r w:rsidR="007D5371">
        <w:rPr>
          <w:lang w:val="en-US"/>
        </w:rPr>
        <w:t xml:space="preserve"> </w:t>
      </w:r>
    </w:p>
    <w:p w14:paraId="0ACA2E63" w14:textId="38DBF7F8" w:rsidR="00E42493" w:rsidRDefault="00C227CB" w:rsidP="00C227CB">
      <w:pPr>
        <w:widowControl w:val="0"/>
        <w:numPr>
          <w:ilvl w:val="0"/>
          <w:numId w:val="5"/>
        </w:numPr>
        <w:tabs>
          <w:tab w:val="left" w:pos="220"/>
          <w:tab w:val="left" w:pos="720"/>
        </w:tabs>
        <w:autoSpaceDE w:val="0"/>
        <w:autoSpaceDN w:val="0"/>
        <w:adjustRightInd w:val="0"/>
        <w:spacing w:after="80"/>
        <w:ind w:hanging="720"/>
      </w:pPr>
      <w:r>
        <w:t xml:space="preserve">Der Text als Norm. Dogmatik in Rechtswissenschaft und Theologie, </w:t>
      </w:r>
      <w:r w:rsidR="00CE2844">
        <w:t>in: Frauke Brosius-Gersdorf/Armin Engländer/Andreas Funke/David Kuch/Axel Tschentscher/Fabian Wittreck (Hrsg.), Rechtskonflikte. Festschrift für Horst Dreier zum 70. Geburtstag, Tübingen 2024, S. 1007 – 1025</w:t>
      </w:r>
    </w:p>
    <w:p w14:paraId="69C4A455" w14:textId="62AF794A" w:rsidR="00572AB0" w:rsidRDefault="00572AB0" w:rsidP="00C227CB">
      <w:pPr>
        <w:widowControl w:val="0"/>
        <w:numPr>
          <w:ilvl w:val="0"/>
          <w:numId w:val="5"/>
        </w:numPr>
        <w:tabs>
          <w:tab w:val="left" w:pos="220"/>
          <w:tab w:val="left" w:pos="720"/>
        </w:tabs>
        <w:autoSpaceDE w:val="0"/>
        <w:autoSpaceDN w:val="0"/>
        <w:adjustRightInd w:val="0"/>
        <w:spacing w:after="80"/>
        <w:ind w:hanging="720"/>
      </w:pPr>
      <w:r>
        <w:t>Der Solidaritätszuschlag zwischen Aufbau Ost, bundesstaatlicher Finanzverfassung und verfassungsrechtlicher Eigentumsgarantie (Urteilsanmerkung zum Urteil des BVerfG vom 26. März 2025), erscheint in JZ 2025</w:t>
      </w:r>
    </w:p>
    <w:p w14:paraId="24A7B115" w14:textId="4FAA60EB" w:rsidR="00C227CB" w:rsidRDefault="009B10D7" w:rsidP="00C227CB">
      <w:pPr>
        <w:widowControl w:val="0"/>
        <w:numPr>
          <w:ilvl w:val="0"/>
          <w:numId w:val="5"/>
        </w:numPr>
        <w:tabs>
          <w:tab w:val="left" w:pos="220"/>
          <w:tab w:val="left" w:pos="720"/>
        </w:tabs>
        <w:autoSpaceDE w:val="0"/>
        <w:autoSpaceDN w:val="0"/>
        <w:adjustRightInd w:val="0"/>
        <w:spacing w:after="80"/>
        <w:ind w:hanging="720"/>
      </w:pPr>
      <w:r>
        <w:t xml:space="preserve">Legitimationsprobleme des alternden </w:t>
      </w:r>
      <w:proofErr w:type="gramStart"/>
      <w:r>
        <w:t>Grundgesetzes?,</w:t>
      </w:r>
      <w:proofErr w:type="gramEnd"/>
      <w:r>
        <w:t xml:space="preserve"> erscheint in JöR </w:t>
      </w:r>
      <w:r w:rsidR="00000EF8">
        <w:t>73 (</w:t>
      </w:r>
      <w:r>
        <w:t>2025</w:t>
      </w:r>
      <w:r w:rsidR="00000EF8">
        <w:t>)</w:t>
      </w:r>
      <w:r w:rsidR="00E42493">
        <w:t xml:space="preserve"> </w:t>
      </w:r>
      <w:r w:rsidR="00CE2844">
        <w:t xml:space="preserve"> </w:t>
      </w:r>
    </w:p>
    <w:p w14:paraId="50D03EEF" w14:textId="4BA0B88B" w:rsidR="005A251A" w:rsidRDefault="005A251A" w:rsidP="00EE55A7">
      <w:pPr>
        <w:widowControl w:val="0"/>
        <w:numPr>
          <w:ilvl w:val="0"/>
          <w:numId w:val="5"/>
        </w:numPr>
        <w:tabs>
          <w:tab w:val="left" w:pos="220"/>
          <w:tab w:val="left" w:pos="720"/>
        </w:tabs>
        <w:autoSpaceDE w:val="0"/>
        <w:autoSpaceDN w:val="0"/>
        <w:adjustRightInd w:val="0"/>
        <w:spacing w:after="80"/>
        <w:ind w:hanging="720"/>
      </w:pPr>
      <w:r>
        <w:t>Der Stellenwert des biographischen Zugangs in der Verfassungsgeschichte – Chancen einer biographischen Befassung mit den „Müttern des Grundgesetzes“, erscheint 202</w:t>
      </w:r>
      <w:r w:rsidR="00C227CB">
        <w:t>5</w:t>
      </w:r>
      <w:r>
        <w:t xml:space="preserve"> in einem von Jörn Lüdemann und Dana Valentiner herausgegebenen Band zu den Müttern des Grundgesetzes</w:t>
      </w:r>
    </w:p>
    <w:p w14:paraId="7510B7D1" w14:textId="731FE8B3" w:rsidR="008265B2" w:rsidRDefault="008265B2" w:rsidP="00EE55A7">
      <w:pPr>
        <w:widowControl w:val="0"/>
        <w:numPr>
          <w:ilvl w:val="0"/>
          <w:numId w:val="5"/>
        </w:numPr>
        <w:tabs>
          <w:tab w:val="left" w:pos="220"/>
          <w:tab w:val="left" w:pos="720"/>
        </w:tabs>
        <w:autoSpaceDE w:val="0"/>
        <w:autoSpaceDN w:val="0"/>
        <w:adjustRightInd w:val="0"/>
        <w:spacing w:after="80"/>
        <w:ind w:hanging="720"/>
      </w:pPr>
      <w:r>
        <w:t>Kollegiales Entscheiden als Problem der Selbstorganisation von Parlamenten und ihrem Umfeld, erscheint 202</w:t>
      </w:r>
      <w:r w:rsidR="001A34BE">
        <w:t>5</w:t>
      </w:r>
      <w:r>
        <w:t xml:space="preserve"> in einem von Matthias Jestaedt herausgegebenen Sonderheft zu „Der Staat“</w:t>
      </w:r>
    </w:p>
    <w:p w14:paraId="73D56ED3" w14:textId="448F2E8B" w:rsidR="008265B2" w:rsidRDefault="008265B2" w:rsidP="00EE55A7">
      <w:pPr>
        <w:widowControl w:val="0"/>
        <w:numPr>
          <w:ilvl w:val="0"/>
          <w:numId w:val="5"/>
        </w:numPr>
        <w:tabs>
          <w:tab w:val="left" w:pos="220"/>
          <w:tab w:val="left" w:pos="720"/>
        </w:tabs>
        <w:autoSpaceDE w:val="0"/>
        <w:autoSpaceDN w:val="0"/>
        <w:adjustRightInd w:val="0"/>
        <w:spacing w:after="80"/>
        <w:ind w:hanging="720"/>
      </w:pPr>
      <w:r>
        <w:t xml:space="preserve">Was können wir aus den Grenzen der Rechtskommunikation bei der Rechtsetzung für die Rechtsprechung </w:t>
      </w:r>
      <w:proofErr w:type="gramStart"/>
      <w:r>
        <w:t>lernen?,</w:t>
      </w:r>
      <w:proofErr w:type="gramEnd"/>
      <w:r>
        <w:t xml:space="preserve"> erscheint 202</w:t>
      </w:r>
      <w:r w:rsidR="001A34BE">
        <w:t>5</w:t>
      </w:r>
      <w:r>
        <w:t xml:space="preserve"> in einem von Anna-Bettina Kaiser, Annkatrin Kaufold, Franz Reimer, Jakob Schemmel und Thomas Wischmeyer herausgegebenen Sammelband</w:t>
      </w:r>
    </w:p>
    <w:p w14:paraId="43F952CD" w14:textId="4CF44D24" w:rsidR="00E45F93" w:rsidRDefault="00E45F93" w:rsidP="00EE55A7">
      <w:pPr>
        <w:widowControl w:val="0"/>
        <w:numPr>
          <w:ilvl w:val="0"/>
          <w:numId w:val="5"/>
        </w:numPr>
        <w:tabs>
          <w:tab w:val="left" w:pos="220"/>
          <w:tab w:val="left" w:pos="720"/>
        </w:tabs>
        <w:autoSpaceDE w:val="0"/>
        <w:autoSpaceDN w:val="0"/>
        <w:adjustRightInd w:val="0"/>
        <w:spacing w:after="80"/>
        <w:ind w:hanging="720"/>
      </w:pPr>
      <w:r>
        <w:t xml:space="preserve">Der Vorrang der Verwaltung. </w:t>
      </w:r>
      <w:r w:rsidR="007B04E7">
        <w:t>Zur verfassungspolitischen Funktion der Verwaltungsmodernisierung in Preußen vor 1848, erscheint 2026 in dem Band „Verwaltung – Verfassung – Kant“, hrsg. von Monika Wienfort, Hans Heinrich von Knobloch und Christian Waldhoff</w:t>
      </w:r>
    </w:p>
    <w:p w14:paraId="53403777" w14:textId="27AE54D2" w:rsidR="007B04E7" w:rsidRDefault="007B04E7" w:rsidP="00EE55A7">
      <w:pPr>
        <w:widowControl w:val="0"/>
        <w:numPr>
          <w:ilvl w:val="0"/>
          <w:numId w:val="5"/>
        </w:numPr>
        <w:tabs>
          <w:tab w:val="left" w:pos="220"/>
          <w:tab w:val="left" w:pos="720"/>
        </w:tabs>
        <w:autoSpaceDE w:val="0"/>
        <w:autoSpaceDN w:val="0"/>
        <w:adjustRightInd w:val="0"/>
        <w:spacing w:after="80"/>
        <w:ind w:hanging="720"/>
      </w:pPr>
      <w:r>
        <w:t xml:space="preserve">Von der Theologie zu den Theologien? Alte und neue Formen universitärer Theologie im pluralistischen Verfassungsstaat, erscheint 2026 in einer Festschrift </w:t>
      </w:r>
    </w:p>
    <w:p w14:paraId="1F826182" w14:textId="77777777" w:rsidR="00CA0516" w:rsidRPr="00BE5153" w:rsidRDefault="00CA0516" w:rsidP="00CE4EBA">
      <w:pPr>
        <w:widowControl w:val="0"/>
        <w:tabs>
          <w:tab w:val="left" w:pos="220"/>
          <w:tab w:val="left" w:pos="720"/>
        </w:tabs>
        <w:autoSpaceDE w:val="0"/>
        <w:autoSpaceDN w:val="0"/>
        <w:adjustRightInd w:val="0"/>
        <w:spacing w:after="80"/>
        <w:ind w:left="720"/>
        <w:rPr>
          <w:color w:val="434343"/>
          <w:lang w:eastAsia="ja-JP"/>
        </w:rPr>
      </w:pPr>
    </w:p>
    <w:p w14:paraId="0DA6D93F" w14:textId="77777777" w:rsidR="00B5150C" w:rsidRPr="00AE5B99" w:rsidRDefault="00B5150C" w:rsidP="00CE4EBA">
      <w:pPr>
        <w:widowControl w:val="0"/>
        <w:tabs>
          <w:tab w:val="left" w:pos="220"/>
          <w:tab w:val="left" w:pos="720"/>
        </w:tabs>
        <w:autoSpaceDE w:val="0"/>
        <w:autoSpaceDN w:val="0"/>
        <w:adjustRightInd w:val="0"/>
        <w:spacing w:after="80"/>
        <w:ind w:left="720"/>
        <w:rPr>
          <w:color w:val="434343"/>
          <w:lang w:eastAsia="ja-JP"/>
        </w:rPr>
      </w:pPr>
    </w:p>
    <w:p w14:paraId="0A6FD42D" w14:textId="77777777" w:rsidR="00A43562" w:rsidRPr="000F2895" w:rsidRDefault="00A43562" w:rsidP="00CE4EBA">
      <w:pPr>
        <w:widowControl w:val="0"/>
        <w:autoSpaceDE w:val="0"/>
        <w:autoSpaceDN w:val="0"/>
        <w:adjustRightInd w:val="0"/>
        <w:spacing w:after="80"/>
        <w:rPr>
          <w:b/>
          <w:bCs/>
          <w:color w:val="25374D"/>
          <w:lang w:eastAsia="ja-JP"/>
        </w:rPr>
      </w:pPr>
      <w:r w:rsidRPr="000F2895">
        <w:rPr>
          <w:b/>
          <w:bCs/>
          <w:color w:val="25374D"/>
          <w:lang w:eastAsia="ja-JP"/>
        </w:rPr>
        <w:lastRenderedPageBreak/>
        <w:t>VI. Lexikonartikel</w:t>
      </w:r>
    </w:p>
    <w:p w14:paraId="3DBC6BCA" w14:textId="77777777" w:rsidR="000F2895" w:rsidRPr="000F2895" w:rsidRDefault="000F2895" w:rsidP="00CE4EBA">
      <w:pPr>
        <w:widowControl w:val="0"/>
        <w:autoSpaceDE w:val="0"/>
        <w:autoSpaceDN w:val="0"/>
        <w:adjustRightInd w:val="0"/>
        <w:spacing w:after="80"/>
        <w:rPr>
          <w:b/>
          <w:bCs/>
          <w:color w:val="25374D"/>
          <w:lang w:eastAsia="ja-JP"/>
        </w:rPr>
      </w:pPr>
    </w:p>
    <w:p w14:paraId="7F2B87E1" w14:textId="7337CA52" w:rsidR="00A43562" w:rsidRPr="00AE5B99" w:rsidRDefault="00C50CF1"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„Karl Neumeyer“</w:t>
      </w:r>
      <w:r w:rsidR="00A43562" w:rsidRPr="00AE5B99">
        <w:rPr>
          <w:color w:val="434343"/>
          <w:lang w:eastAsia="ja-JP"/>
        </w:rPr>
        <w:t>, in: Historische Kommission bei der Bayerische Akademie der Wissenschaften (Hrsg.), Neue Deutsche Biographie, Band 19, Berlin 1999, S. 172 - 173</w:t>
      </w:r>
    </w:p>
    <w:p w14:paraId="4408B228" w14:textId="629A3FE6" w:rsidR="00A43562" w:rsidRPr="00AE5B99" w:rsidRDefault="00A43562"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Artikel „Wiltraut Rupp-von Brünn</w:t>
      </w:r>
      <w:r w:rsidR="00C50CF1">
        <w:rPr>
          <w:color w:val="434343"/>
          <w:lang w:eastAsia="ja-JP"/>
        </w:rPr>
        <w:t>eck“</w:t>
      </w:r>
      <w:r w:rsidRPr="00AE5B99">
        <w:rPr>
          <w:color w:val="434343"/>
          <w:lang w:eastAsia="ja-JP"/>
        </w:rPr>
        <w:t>, in: Historische Kommission bei der Bayerische Akademie der Wissenschaften (Hrsg.), Neue Deutsche Biographie, Bd. 22, Berlin 2005, S. 279 - 280</w:t>
      </w:r>
    </w:p>
    <w:p w14:paraId="1CA78645" w14:textId="75B31E19" w:rsidR="00A43562" w:rsidRPr="00AE5B99" w:rsidRDefault="00C50CF1"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„Erna Scheffler“</w:t>
      </w:r>
      <w:r w:rsidR="00A43562" w:rsidRPr="00AE5B99">
        <w:rPr>
          <w:color w:val="434343"/>
          <w:lang w:eastAsia="ja-JP"/>
        </w:rPr>
        <w:t>, in: Historische Kommission bei der Bayerischen Akademie der Wissenschaften (Hrsg.), Neue Deutsche Biographie, Bd. 22, Berlin 2005, S. 615 - 616</w:t>
      </w:r>
    </w:p>
    <w:p w14:paraId="61D6C175" w14:textId="2F9447E6" w:rsidR="00A43562" w:rsidRPr="00AE5B99" w:rsidRDefault="00C50CF1"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„Georg von Schanz“</w:t>
      </w:r>
      <w:r w:rsidR="00A43562" w:rsidRPr="00AE5B99">
        <w:rPr>
          <w:color w:val="434343"/>
          <w:lang w:eastAsia="ja-JP"/>
        </w:rPr>
        <w:t>, in: Historische Kommission bei der Bayerischen Akademie der Wissenschaften (Hrsg.), Neue Deutsche Biographie, Bd. 22, Berlin 2005, S. 559 - 560</w:t>
      </w:r>
    </w:p>
    <w:p w14:paraId="06C88EC8" w14:textId="777B0EAA" w:rsidR="00A43562" w:rsidRPr="00CD7D9B" w:rsidRDefault="00A43562" w:rsidP="00CE4EBA">
      <w:pPr>
        <w:widowControl w:val="0"/>
        <w:numPr>
          <w:ilvl w:val="0"/>
          <w:numId w:val="8"/>
        </w:numPr>
        <w:tabs>
          <w:tab w:val="left" w:pos="220"/>
          <w:tab w:val="left" w:pos="720"/>
        </w:tabs>
        <w:autoSpaceDE w:val="0"/>
        <w:autoSpaceDN w:val="0"/>
        <w:adjustRightInd w:val="0"/>
        <w:spacing w:after="80"/>
        <w:ind w:hanging="720"/>
        <w:rPr>
          <w:color w:val="434343"/>
          <w:lang w:val="en-US" w:eastAsia="ja-JP"/>
        </w:rPr>
      </w:pPr>
      <w:r w:rsidRPr="00CD7D9B">
        <w:rPr>
          <w:color w:val="434343"/>
          <w:lang w:val="en-US" w:eastAsia="ja-JP"/>
        </w:rPr>
        <w:t xml:space="preserve">(zusammen mit </w:t>
      </w:r>
      <w:r w:rsidRPr="00CD7D9B">
        <w:rPr>
          <w:i/>
          <w:iCs/>
          <w:color w:val="434343"/>
          <w:lang w:val="en-US" w:eastAsia="ja-JP"/>
        </w:rPr>
        <w:t>Andreas Thier</w:t>
      </w:r>
      <w:r w:rsidRPr="00CD7D9B">
        <w:rPr>
          <w:color w:val="434343"/>
          <w:lang w:val="en-US" w:eastAsia="ja-JP"/>
        </w:rPr>
        <w:t xml:space="preserve">) Artikel „Taxation </w:t>
      </w:r>
      <w:r w:rsidR="000A6625" w:rsidRPr="00CD7D9B">
        <w:rPr>
          <w:color w:val="434343"/>
          <w:lang w:val="en-US" w:eastAsia="ja-JP"/>
        </w:rPr>
        <w:t>–</w:t>
      </w:r>
      <w:r w:rsidRPr="00CD7D9B">
        <w:rPr>
          <w:color w:val="434343"/>
          <w:lang w:val="en-US" w:eastAsia="ja-JP"/>
        </w:rPr>
        <w:t xml:space="preserve"> Medie</w:t>
      </w:r>
      <w:r w:rsidR="00C50CF1" w:rsidRPr="00CD7D9B">
        <w:rPr>
          <w:color w:val="434343"/>
          <w:lang w:val="en-US" w:eastAsia="ja-JP"/>
        </w:rPr>
        <w:t xml:space="preserve">val and Post-Medieval Roman </w:t>
      </w:r>
      <w:proofErr w:type="gramStart"/>
      <w:r w:rsidR="00C50CF1" w:rsidRPr="00CD7D9B">
        <w:rPr>
          <w:color w:val="434343"/>
          <w:lang w:val="en-US" w:eastAsia="ja-JP"/>
        </w:rPr>
        <w:t>Law“</w:t>
      </w:r>
      <w:proofErr w:type="gramEnd"/>
      <w:r w:rsidRPr="00CD7D9B">
        <w:rPr>
          <w:color w:val="434343"/>
          <w:lang w:val="en-US" w:eastAsia="ja-JP"/>
        </w:rPr>
        <w:t>, in: Stanley N. Katz (ed.), The Oxford International Encyclopedia of Legal History, vol. 5, p. 435 - 439, Oxford/New York 2009</w:t>
      </w:r>
    </w:p>
    <w:p w14:paraId="571A4A00" w14:textId="158C6E29" w:rsidR="00A43562" w:rsidRPr="00AE5B99" w:rsidRDefault="00A43562"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Artikel „Ernst Friesenhahn (1</w:t>
      </w:r>
      <w:r w:rsidR="00C50CF1">
        <w:rPr>
          <w:color w:val="434343"/>
          <w:lang w:eastAsia="ja-JP"/>
        </w:rPr>
        <w:t>901 - 1984), Verfassungsrichter“</w:t>
      </w:r>
      <w:r w:rsidRPr="00AE5B99">
        <w:rPr>
          <w:color w:val="434343"/>
          <w:lang w:eastAsia="ja-JP"/>
        </w:rPr>
        <w:t xml:space="preserve">, online veröffentlicht 9/2010 in dem Internetportal „Rheinische Geschichte" des Landschaftsverbands Rheinland, </w:t>
      </w:r>
      <w:hyperlink r:id="rId10" w:history="1">
        <w:r w:rsidRPr="00AE5B99">
          <w:rPr>
            <w:color w:val="2549B2"/>
            <w:lang w:eastAsia="ja-JP"/>
          </w:rPr>
          <w:t>www.rheinische-geschichte.lvr.de/persoenlichkeiten/S/Seiten/ErnstFriesenhahn.aspx</w:t>
        </w:r>
      </w:hyperlink>
    </w:p>
    <w:p w14:paraId="2695B672" w14:textId="76D41772" w:rsidR="00A43562" w:rsidRPr="00AE5B99" w:rsidRDefault="00A43562"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Artikel „Ulrich Scheuner (1903</w:t>
      </w:r>
      <w:r w:rsidR="00C50CF1">
        <w:rPr>
          <w:color w:val="434343"/>
          <w:lang w:eastAsia="ja-JP"/>
        </w:rPr>
        <w:t xml:space="preserve"> - 1981), Rechtswissenschaftler“</w:t>
      </w:r>
      <w:r w:rsidRPr="00AE5B99">
        <w:rPr>
          <w:color w:val="434343"/>
          <w:lang w:eastAsia="ja-JP"/>
        </w:rPr>
        <w:t xml:space="preserve">, online veröffentlicht 9/2010 in dem Internetportal „Rheinische Geschichte" des Landschaftsverbands Rheinland, </w:t>
      </w:r>
      <w:hyperlink r:id="rId11" w:history="1">
        <w:r w:rsidRPr="00AE5B99">
          <w:rPr>
            <w:color w:val="2549B2"/>
            <w:lang w:eastAsia="ja-JP"/>
          </w:rPr>
          <w:t>www.rheinische-geschichte.lvr.de/persoenlichkeiten/S/Seiten/UlrichScheuner.aspx</w:t>
        </w:r>
      </w:hyperlink>
    </w:p>
    <w:p w14:paraId="56998330" w14:textId="77777777" w:rsidR="004F7F0E" w:rsidRDefault="00A43562"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Artikel „Ulrich Stutz (1868 -</w:t>
      </w:r>
      <w:r w:rsidR="00C50CF1">
        <w:rPr>
          <w:color w:val="434343"/>
          <w:lang w:eastAsia="ja-JP"/>
        </w:rPr>
        <w:t xml:space="preserve"> 1938), Kirchenrechtshistoriker“</w:t>
      </w:r>
      <w:r w:rsidRPr="00AE5B99">
        <w:rPr>
          <w:color w:val="434343"/>
          <w:lang w:eastAsia="ja-JP"/>
        </w:rPr>
        <w:t xml:space="preserve">, online veröffentlicht 9/2010 in dem Internetportal „Rheinische Geschichte" des Landschaftsverbands Rheinland, </w:t>
      </w:r>
      <w:hyperlink r:id="rId12" w:history="1">
        <w:r w:rsidRPr="00AE5B99">
          <w:rPr>
            <w:color w:val="2549B2"/>
            <w:lang w:eastAsia="ja-JP"/>
          </w:rPr>
          <w:t>www.rheinische-geschichte.lvr.de/persoenlichkeiten/S/Seiten/UlrichStutz.aspx</w:t>
        </w:r>
      </w:hyperlink>
    </w:p>
    <w:p w14:paraId="01ADFB8F" w14:textId="7B63106C" w:rsidR="00A43562" w:rsidRPr="004F7F0E" w:rsidRDefault="004F7F0E"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        </w:t>
      </w:r>
      <w:r w:rsidR="00A43562" w:rsidRPr="004F7F0E">
        <w:rPr>
          <w:color w:val="434343"/>
          <w:lang w:eastAsia="ja-JP"/>
        </w:rPr>
        <w:t>Artikel „Richard Thom</w:t>
      </w:r>
      <w:r w:rsidR="00C50CF1" w:rsidRPr="004F7F0E">
        <w:rPr>
          <w:color w:val="434343"/>
          <w:lang w:eastAsia="ja-JP"/>
        </w:rPr>
        <w:t>a (1874 - 1957), Staatsrechtler“</w:t>
      </w:r>
      <w:r w:rsidR="00A43562" w:rsidRPr="004F7F0E">
        <w:rPr>
          <w:color w:val="434343"/>
          <w:lang w:eastAsia="ja-JP"/>
        </w:rPr>
        <w:t xml:space="preserve">, online veröffentlicht 9/2010 in dem Internetportal „Rheinische Geschichte" des Landschaftsverbands Rheinland, </w:t>
      </w:r>
      <w:hyperlink r:id="rId13" w:history="1">
        <w:r w:rsidR="00A43562" w:rsidRPr="004F7F0E">
          <w:rPr>
            <w:color w:val="2549B2"/>
            <w:lang w:eastAsia="ja-JP"/>
          </w:rPr>
          <w:t>www.rheinische-geschichte.lvr.de/persoenlichkeiten/S/Seiten/RichardThoma.aspx</w:t>
        </w:r>
      </w:hyperlink>
    </w:p>
    <w:p w14:paraId="104997AA" w14:textId="12B176CA" w:rsidR="00A43562" w:rsidRPr="00AE5B99" w:rsidRDefault="00A43562"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Artik</w:t>
      </w:r>
      <w:r w:rsidR="00C50CF1">
        <w:rPr>
          <w:color w:val="434343"/>
          <w:lang w:eastAsia="ja-JP"/>
        </w:rPr>
        <w:t>el „Kulturkampf“</w:t>
      </w:r>
      <w:r w:rsidRPr="00AE5B99">
        <w:rPr>
          <w:color w:val="434343"/>
          <w:lang w:eastAsia="ja-JP"/>
        </w:rPr>
        <w:t xml:space="preserve">, in: Hans-Michael Heinig/Hendrik Munsonius (Hrsg.), 100 Begriffe aus dem Staatskirchenrecht, Tübingen 2012, S. 148 </w:t>
      </w:r>
      <w:r w:rsidR="00BB75D9">
        <w:rPr>
          <w:color w:val="434343"/>
          <w:lang w:eastAsia="ja-JP"/>
        </w:rPr>
        <w:t>–</w:t>
      </w:r>
      <w:r w:rsidRPr="00AE5B99">
        <w:rPr>
          <w:color w:val="434343"/>
          <w:lang w:eastAsia="ja-JP"/>
        </w:rPr>
        <w:t xml:space="preserve"> 151</w:t>
      </w:r>
      <w:r w:rsidR="00B47208">
        <w:rPr>
          <w:color w:val="434343"/>
          <w:lang w:eastAsia="ja-JP"/>
        </w:rPr>
        <w:t xml:space="preserve">; 2. Aufl. Tübingen 2015, S. 161 – 164 </w:t>
      </w:r>
    </w:p>
    <w:p w14:paraId="724C04C6" w14:textId="7D4FF99E" w:rsidR="00A43562" w:rsidRPr="00AE5B99" w:rsidRDefault="00A43562"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Artikel „Religionsre</w:t>
      </w:r>
      <w:r w:rsidR="00C50CF1">
        <w:rPr>
          <w:color w:val="434343"/>
          <w:lang w:eastAsia="ja-JP"/>
        </w:rPr>
        <w:t>cht / Religionsverfassungsrecht“</w:t>
      </w:r>
      <w:r w:rsidRPr="00AE5B99">
        <w:rPr>
          <w:color w:val="434343"/>
          <w:lang w:eastAsia="ja-JP"/>
        </w:rPr>
        <w:t xml:space="preserve">, in: Hans-Michael Heinig/Hendrik Munsonius (Hrsg.), 100 Begriffe aus dem Staatskirchenrecht, Tübingen 2012, S. 203 </w:t>
      </w:r>
      <w:r w:rsidR="00BB75D9">
        <w:rPr>
          <w:color w:val="434343"/>
          <w:lang w:eastAsia="ja-JP"/>
        </w:rPr>
        <w:t>–</w:t>
      </w:r>
      <w:r w:rsidRPr="00AE5B99">
        <w:rPr>
          <w:color w:val="434343"/>
          <w:lang w:eastAsia="ja-JP"/>
        </w:rPr>
        <w:t xml:space="preserve"> 206</w:t>
      </w:r>
      <w:r w:rsidR="00BB75D9">
        <w:rPr>
          <w:color w:val="434343"/>
          <w:lang w:eastAsia="ja-JP"/>
        </w:rPr>
        <w:t>; 2. Au</w:t>
      </w:r>
      <w:r w:rsidR="00B47208">
        <w:rPr>
          <w:color w:val="434343"/>
          <w:lang w:eastAsia="ja-JP"/>
        </w:rPr>
        <w:t xml:space="preserve">fl. Tübingen 2015, S. 215 – 218 </w:t>
      </w:r>
    </w:p>
    <w:p w14:paraId="69602171" w14:textId="20949D6C" w:rsidR="00A43562" w:rsidRPr="00AE5B99" w:rsidRDefault="00C50CF1"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„Schulpflicht“</w:t>
      </w:r>
      <w:r w:rsidR="00A43562" w:rsidRPr="00AE5B99">
        <w:rPr>
          <w:color w:val="434343"/>
          <w:lang w:eastAsia="ja-JP"/>
        </w:rPr>
        <w:t xml:space="preserve">, in: Hans-Michael Heinig/Hendrik Munsonius (Hrsg.), 100 Begriffe aus dem Staatskirchenrecht, Tübingen 2012, S. 229 </w:t>
      </w:r>
      <w:r w:rsidR="00BB75D9">
        <w:rPr>
          <w:color w:val="434343"/>
          <w:lang w:eastAsia="ja-JP"/>
        </w:rPr>
        <w:t>–</w:t>
      </w:r>
      <w:r w:rsidR="00A43562" w:rsidRPr="00AE5B99">
        <w:rPr>
          <w:color w:val="434343"/>
          <w:lang w:eastAsia="ja-JP"/>
        </w:rPr>
        <w:t xml:space="preserve"> 232</w:t>
      </w:r>
      <w:r w:rsidR="00BB75D9">
        <w:rPr>
          <w:color w:val="434343"/>
          <w:lang w:eastAsia="ja-JP"/>
        </w:rPr>
        <w:t>; 2. Au</w:t>
      </w:r>
      <w:r w:rsidR="00B47208">
        <w:rPr>
          <w:color w:val="434343"/>
          <w:lang w:eastAsia="ja-JP"/>
        </w:rPr>
        <w:t xml:space="preserve">fl. Tübingen 2015, S. 246 – 250 </w:t>
      </w:r>
    </w:p>
    <w:p w14:paraId="27EFD7E0" w14:textId="04BE06D0" w:rsidR="00A43562" w:rsidRPr="00AE5B99" w:rsidRDefault="00C50CF1"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„Staatskirchenrecht“</w:t>
      </w:r>
      <w:r w:rsidR="00A43562" w:rsidRPr="00AE5B99">
        <w:rPr>
          <w:color w:val="434343"/>
          <w:lang w:eastAsia="ja-JP"/>
        </w:rPr>
        <w:t xml:space="preserve">, in: Hans-Michael Heinig/Hendrik Munsonius (Hrsg.), 100 Begriffe aus dem Staatskirchenrecht, Tübingen 2012, S. 247 </w:t>
      </w:r>
      <w:r w:rsidR="00BB75D9">
        <w:rPr>
          <w:color w:val="434343"/>
          <w:lang w:eastAsia="ja-JP"/>
        </w:rPr>
        <w:t>–</w:t>
      </w:r>
      <w:r w:rsidR="00A43562" w:rsidRPr="00AE5B99">
        <w:rPr>
          <w:color w:val="434343"/>
          <w:lang w:eastAsia="ja-JP"/>
        </w:rPr>
        <w:t xml:space="preserve"> 253</w:t>
      </w:r>
      <w:r w:rsidR="00BB75D9">
        <w:rPr>
          <w:color w:val="434343"/>
          <w:lang w:eastAsia="ja-JP"/>
        </w:rPr>
        <w:t>; 2. Aufl. Tü</w:t>
      </w:r>
      <w:r w:rsidR="00B47208">
        <w:rPr>
          <w:color w:val="434343"/>
          <w:lang w:eastAsia="ja-JP"/>
        </w:rPr>
        <w:t xml:space="preserve">bingen 2015, S. 265 – 271 </w:t>
      </w:r>
    </w:p>
    <w:p w14:paraId="3AACA99F" w14:textId="3C99337F" w:rsidR="00B47208" w:rsidRDefault="00C50CF1"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„Subsidiarität“</w:t>
      </w:r>
      <w:r w:rsidR="00A43562" w:rsidRPr="00AE5B99">
        <w:rPr>
          <w:color w:val="434343"/>
          <w:lang w:eastAsia="ja-JP"/>
        </w:rPr>
        <w:t xml:space="preserve">, in: Hans-Michael Heinig/Hendrik Munsonius (Hrsg.), 100 Begriffe aus dem Staatskirchenrecht, Tübingen 2012, S. 261 </w:t>
      </w:r>
      <w:r w:rsidR="00794F69">
        <w:rPr>
          <w:color w:val="434343"/>
          <w:lang w:eastAsia="ja-JP"/>
        </w:rPr>
        <w:t>–</w:t>
      </w:r>
      <w:r w:rsidR="00A43562" w:rsidRPr="00AE5B99">
        <w:rPr>
          <w:color w:val="434343"/>
          <w:lang w:eastAsia="ja-JP"/>
        </w:rPr>
        <w:t xml:space="preserve"> 265</w:t>
      </w:r>
      <w:r w:rsidR="00B47208">
        <w:rPr>
          <w:color w:val="434343"/>
          <w:lang w:eastAsia="ja-JP"/>
        </w:rPr>
        <w:t xml:space="preserve">; 2. Aufl. Tübingen </w:t>
      </w:r>
      <w:r w:rsidR="00B47208">
        <w:rPr>
          <w:color w:val="434343"/>
          <w:lang w:eastAsia="ja-JP"/>
        </w:rPr>
        <w:lastRenderedPageBreak/>
        <w:t xml:space="preserve">2015, S. 280 – 284 </w:t>
      </w:r>
    </w:p>
    <w:p w14:paraId="4B99F901" w14:textId="77777777" w:rsidR="00E45573" w:rsidRDefault="00B47208"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„Thoma, Richard</w:t>
      </w:r>
      <w:r w:rsidR="00C67F69">
        <w:rPr>
          <w:color w:val="434343"/>
          <w:lang w:eastAsia="ja-JP"/>
        </w:rPr>
        <w:t xml:space="preserve"> Emil</w:t>
      </w:r>
      <w:r>
        <w:rPr>
          <w:color w:val="434343"/>
          <w:lang w:eastAsia="ja-JP"/>
        </w:rPr>
        <w:t>“</w:t>
      </w:r>
      <w:r w:rsidRPr="00AE5B99">
        <w:rPr>
          <w:color w:val="434343"/>
          <w:lang w:eastAsia="ja-JP"/>
        </w:rPr>
        <w:t xml:space="preserve">, </w:t>
      </w:r>
      <w:r w:rsidR="00C67F69">
        <w:rPr>
          <w:color w:val="434343"/>
          <w:lang w:eastAsia="ja-JP"/>
        </w:rPr>
        <w:t>i</w:t>
      </w:r>
      <w:r w:rsidRPr="00AE5B99">
        <w:rPr>
          <w:color w:val="434343"/>
          <w:lang w:eastAsia="ja-JP"/>
        </w:rPr>
        <w:t>n: Historische Kommission bei der Bayerischen Akademie der Wissenschaften (Hrsg.), Neue Deutsche Biographie</w:t>
      </w:r>
      <w:r w:rsidR="00C67F69">
        <w:rPr>
          <w:color w:val="434343"/>
          <w:lang w:eastAsia="ja-JP"/>
        </w:rPr>
        <w:t>, Bd. 26, 2016, Sp. 171 – 173</w:t>
      </w:r>
      <w:r>
        <w:rPr>
          <w:color w:val="434343"/>
          <w:lang w:eastAsia="ja-JP"/>
        </w:rPr>
        <w:t xml:space="preserve"> </w:t>
      </w:r>
    </w:p>
    <w:p w14:paraId="5EC8C98E" w14:textId="550260F0" w:rsidR="00794F69" w:rsidRPr="00E45573" w:rsidRDefault="00E45573"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sidRPr="00E45573">
        <w:rPr>
          <w:color w:val="434343"/>
          <w:lang w:eastAsia="ja-JP"/>
        </w:rPr>
        <w:t xml:space="preserve">Ulrich Stutz (1868 – 1938), in: Philipp Thull (Hrsg.), 60 Porträts aus dem Kirchenrecht. Leben und Werk bedeutender Kanonisten, St. Ottilien 2017, S. 388 – 401 </w:t>
      </w:r>
    </w:p>
    <w:p w14:paraId="7CD4E79A" w14:textId="71BFB6D3" w:rsidR="00064495" w:rsidRDefault="00064495"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w:t>
      </w:r>
      <w:r w:rsidR="00B5150C">
        <w:rPr>
          <w:color w:val="434343"/>
          <w:lang w:eastAsia="ja-JP"/>
        </w:rPr>
        <w:t xml:space="preserve">el „Begnadigung“, </w:t>
      </w:r>
      <w:r w:rsidR="00E45573">
        <w:rPr>
          <w:color w:val="434343"/>
          <w:lang w:eastAsia="ja-JP"/>
        </w:rPr>
        <w:t>in:</w:t>
      </w:r>
      <w:r>
        <w:rPr>
          <w:color w:val="434343"/>
          <w:lang w:eastAsia="ja-JP"/>
        </w:rPr>
        <w:t xml:space="preserve"> Staatslexikon </w:t>
      </w:r>
      <w:r w:rsidR="00E45573">
        <w:rPr>
          <w:color w:val="434343"/>
          <w:lang w:eastAsia="ja-JP"/>
        </w:rPr>
        <w:t>Recht, Wirtschaft, Gesellschaft, Bd. 1, 8. Aufl. Freiburg i.Br. 2017, Sp. 594 – 598</w:t>
      </w:r>
    </w:p>
    <w:p w14:paraId="1736FF3A" w14:textId="134BDD16" w:rsidR="00064495" w:rsidRPr="00064495" w:rsidRDefault="00064495"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Artikel „Dezentralisation, </w:t>
      </w:r>
      <w:r w:rsidR="00B5150C">
        <w:rPr>
          <w:color w:val="434343"/>
          <w:lang w:eastAsia="ja-JP"/>
        </w:rPr>
        <w:t xml:space="preserve">Dekonzentration“, </w:t>
      </w:r>
      <w:r>
        <w:rPr>
          <w:color w:val="434343"/>
          <w:lang w:eastAsia="ja-JP"/>
        </w:rPr>
        <w:t>i</w:t>
      </w:r>
      <w:r w:rsidR="00E45573">
        <w:rPr>
          <w:color w:val="434343"/>
          <w:lang w:eastAsia="ja-JP"/>
        </w:rPr>
        <w:t>n:</w:t>
      </w:r>
      <w:r>
        <w:rPr>
          <w:color w:val="434343"/>
          <w:lang w:eastAsia="ja-JP"/>
        </w:rPr>
        <w:t xml:space="preserve"> Staatslexikon </w:t>
      </w:r>
      <w:r w:rsidR="00E45573">
        <w:rPr>
          <w:color w:val="434343"/>
          <w:lang w:eastAsia="ja-JP"/>
        </w:rPr>
        <w:t xml:space="preserve">Recht, Wirtschaft, Gesellschaft, Bd. 1, 8. Aufl. Freiburg i.Br. 2017, Sp. 1349 – 1352 </w:t>
      </w:r>
    </w:p>
    <w:p w14:paraId="51E58571" w14:textId="6C17CE4F" w:rsidR="00064495" w:rsidRDefault="00064495"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„Dogmatik (juristisch)“, i</w:t>
      </w:r>
      <w:r w:rsidR="00D24043">
        <w:rPr>
          <w:color w:val="434343"/>
          <w:lang w:eastAsia="ja-JP"/>
        </w:rPr>
        <w:t>n</w:t>
      </w:r>
      <w:r w:rsidR="00E45573">
        <w:rPr>
          <w:color w:val="434343"/>
          <w:lang w:eastAsia="ja-JP"/>
        </w:rPr>
        <w:t>:</w:t>
      </w:r>
      <w:r>
        <w:rPr>
          <w:color w:val="434343"/>
          <w:lang w:eastAsia="ja-JP"/>
        </w:rPr>
        <w:t xml:space="preserve"> Staatslexikon </w:t>
      </w:r>
      <w:r w:rsidR="00E45573">
        <w:rPr>
          <w:color w:val="434343"/>
          <w:lang w:eastAsia="ja-JP"/>
        </w:rPr>
        <w:t xml:space="preserve">Recht, Wirtschaft, </w:t>
      </w:r>
      <w:r>
        <w:rPr>
          <w:color w:val="434343"/>
          <w:lang w:eastAsia="ja-JP"/>
        </w:rPr>
        <w:t>Gesellschaft</w:t>
      </w:r>
      <w:r w:rsidR="00E45573">
        <w:rPr>
          <w:color w:val="434343"/>
          <w:lang w:eastAsia="ja-JP"/>
        </w:rPr>
        <w:t xml:space="preserve">, Bd. 1, 8. Aufl. Freiburg i.Br. 2017, Sp. 1459 – 1564 </w:t>
      </w:r>
    </w:p>
    <w:p w14:paraId="66865F9D" w14:textId="408AACE2" w:rsidR="00064495" w:rsidRDefault="00D24043"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Artikel „Fiskus“, </w:t>
      </w:r>
      <w:r w:rsidR="007749D2">
        <w:rPr>
          <w:color w:val="434343"/>
          <w:lang w:eastAsia="ja-JP"/>
        </w:rPr>
        <w:t>in:</w:t>
      </w:r>
      <w:r w:rsidR="00064495">
        <w:rPr>
          <w:color w:val="434343"/>
          <w:lang w:eastAsia="ja-JP"/>
        </w:rPr>
        <w:t xml:space="preserve"> Staatslexikon </w:t>
      </w:r>
      <w:r w:rsidR="007749D2">
        <w:rPr>
          <w:color w:val="434343"/>
          <w:lang w:eastAsia="ja-JP"/>
        </w:rPr>
        <w:t>Recht, Wirtschaft, Gesellsch</w:t>
      </w:r>
      <w:r w:rsidR="00064495">
        <w:rPr>
          <w:color w:val="434343"/>
          <w:lang w:eastAsia="ja-JP"/>
        </w:rPr>
        <w:t>aft</w:t>
      </w:r>
      <w:r w:rsidR="007749D2">
        <w:rPr>
          <w:color w:val="434343"/>
          <w:lang w:eastAsia="ja-JP"/>
        </w:rPr>
        <w:t xml:space="preserve">, Bd. 2, 8. Aufl. Freiburg i.Br. 2018, Sp. 763 – 766 </w:t>
      </w:r>
    </w:p>
    <w:p w14:paraId="54E90E1E" w14:textId="3BA123DD" w:rsidR="00B5150C" w:rsidRDefault="00B5150C"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w:t>
      </w:r>
      <w:r w:rsidR="00D24043">
        <w:rPr>
          <w:color w:val="434343"/>
          <w:lang w:eastAsia="ja-JP"/>
        </w:rPr>
        <w:t xml:space="preserve"> „Gebietsreform“, </w:t>
      </w:r>
      <w:r w:rsidR="007749D2">
        <w:rPr>
          <w:color w:val="434343"/>
          <w:lang w:eastAsia="ja-JP"/>
        </w:rPr>
        <w:t>in:</w:t>
      </w:r>
      <w:r>
        <w:rPr>
          <w:color w:val="434343"/>
          <w:lang w:eastAsia="ja-JP"/>
        </w:rPr>
        <w:t xml:space="preserve"> Staatslexikon </w:t>
      </w:r>
      <w:r w:rsidR="007749D2">
        <w:rPr>
          <w:color w:val="434343"/>
          <w:lang w:eastAsia="ja-JP"/>
        </w:rPr>
        <w:t xml:space="preserve">Recht, Wirtschaft, </w:t>
      </w:r>
      <w:r>
        <w:rPr>
          <w:color w:val="434343"/>
          <w:lang w:eastAsia="ja-JP"/>
        </w:rPr>
        <w:t>Gesellschaft</w:t>
      </w:r>
      <w:r w:rsidR="007749D2">
        <w:rPr>
          <w:color w:val="434343"/>
          <w:lang w:eastAsia="ja-JP"/>
        </w:rPr>
        <w:t xml:space="preserve">, Bd. 2, 8. Aufl. Freiburg i.Br. 2018, Sp. 968 – 971 </w:t>
      </w:r>
    </w:p>
    <w:p w14:paraId="5C308C99" w14:textId="0251579E" w:rsidR="00B5150C" w:rsidRDefault="00B5150C"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„Konko</w:t>
      </w:r>
      <w:r w:rsidR="00D24043">
        <w:rPr>
          <w:color w:val="434343"/>
          <w:lang w:eastAsia="ja-JP"/>
        </w:rPr>
        <w:t xml:space="preserve">rdatslehrstühle“, </w:t>
      </w:r>
      <w:r w:rsidR="00301867">
        <w:rPr>
          <w:color w:val="434343"/>
          <w:lang w:eastAsia="ja-JP"/>
        </w:rPr>
        <w:t>in:</w:t>
      </w:r>
      <w:r>
        <w:rPr>
          <w:color w:val="434343"/>
          <w:lang w:eastAsia="ja-JP"/>
        </w:rPr>
        <w:t xml:space="preserve"> Staatslexikon</w:t>
      </w:r>
      <w:r w:rsidR="007749D2">
        <w:rPr>
          <w:color w:val="434343"/>
          <w:lang w:eastAsia="ja-JP"/>
        </w:rPr>
        <w:t>s</w:t>
      </w:r>
      <w:r>
        <w:rPr>
          <w:color w:val="434343"/>
          <w:lang w:eastAsia="ja-JP"/>
        </w:rPr>
        <w:t xml:space="preserve"> </w:t>
      </w:r>
      <w:r w:rsidR="00301867">
        <w:rPr>
          <w:color w:val="434343"/>
          <w:lang w:eastAsia="ja-JP"/>
        </w:rPr>
        <w:t xml:space="preserve">Recht, Wirtschaft, Gesellschaft, Bd. 3, 8. Aufl. Freiburg i.Br. 2019, Sp. 997 – 999 </w:t>
      </w:r>
    </w:p>
    <w:p w14:paraId="68529BD1" w14:textId="3CD4EF20" w:rsidR="00D24043" w:rsidRDefault="00D24043"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„Gnaden</w:t>
      </w:r>
      <w:r w:rsidR="00A6512F">
        <w:rPr>
          <w:color w:val="434343"/>
          <w:lang w:eastAsia="ja-JP"/>
        </w:rPr>
        <w:t>akt</w:t>
      </w:r>
      <w:r>
        <w:rPr>
          <w:color w:val="434343"/>
          <w:lang w:eastAsia="ja-JP"/>
        </w:rPr>
        <w:t>, staatlich“, i</w:t>
      </w:r>
      <w:r w:rsidR="00A6512F">
        <w:rPr>
          <w:color w:val="434343"/>
          <w:lang w:eastAsia="ja-JP"/>
        </w:rPr>
        <w:t>n: Heribert Hallermann/Thomas Meckel/Michael Droege/Heinrich de Wall (Hrsg.),</w:t>
      </w:r>
      <w:r>
        <w:rPr>
          <w:color w:val="434343"/>
          <w:lang w:eastAsia="ja-JP"/>
        </w:rPr>
        <w:t xml:space="preserve"> Lexikon für Kirchen- und Religionsrecht</w:t>
      </w:r>
      <w:r w:rsidR="00A6512F">
        <w:rPr>
          <w:color w:val="434343"/>
          <w:lang w:eastAsia="ja-JP"/>
        </w:rPr>
        <w:t>, Bd. 2, Paderborn 2019, S. 424</w:t>
      </w:r>
    </w:p>
    <w:p w14:paraId="4FE663C8" w14:textId="649E5964" w:rsidR="00A311AA" w:rsidRPr="00A311AA" w:rsidRDefault="00A311AA" w:rsidP="00A311A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„Werner, Fritz Ernst</w:t>
      </w:r>
      <w:r w:rsidRPr="00B5150C">
        <w:rPr>
          <w:color w:val="434343"/>
          <w:lang w:eastAsia="ja-JP"/>
        </w:rPr>
        <w:t>“, in: Historische Kommission bei der Bayerischen Akademie der Wissenschaften (Hrsg.), Neue Deutsche Biographie</w:t>
      </w:r>
      <w:r>
        <w:rPr>
          <w:color w:val="434343"/>
          <w:lang w:eastAsia="ja-JP"/>
        </w:rPr>
        <w:t xml:space="preserve">, Bd. 27, 2020, Sp. 1520 – 1521 </w:t>
      </w:r>
    </w:p>
    <w:p w14:paraId="57F9940C" w14:textId="03245C09" w:rsidR="005F0AFD" w:rsidRDefault="00740CBB"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„Schulpflicht“, in</w:t>
      </w:r>
      <w:r w:rsidR="005F0AFD">
        <w:rPr>
          <w:color w:val="434343"/>
          <w:lang w:eastAsia="ja-JP"/>
        </w:rPr>
        <w:t>:</w:t>
      </w:r>
      <w:r>
        <w:rPr>
          <w:color w:val="434343"/>
          <w:lang w:eastAsia="ja-JP"/>
        </w:rPr>
        <w:t xml:space="preserve"> Staatslexikon </w:t>
      </w:r>
      <w:r w:rsidR="005F0AFD">
        <w:rPr>
          <w:color w:val="434343"/>
          <w:lang w:eastAsia="ja-JP"/>
        </w:rPr>
        <w:t xml:space="preserve">Recht, Wirtschaft, </w:t>
      </w:r>
      <w:r>
        <w:rPr>
          <w:color w:val="434343"/>
          <w:lang w:eastAsia="ja-JP"/>
        </w:rPr>
        <w:t>Gesellschaft</w:t>
      </w:r>
      <w:r w:rsidR="005F0AFD">
        <w:rPr>
          <w:color w:val="434343"/>
          <w:lang w:eastAsia="ja-JP"/>
        </w:rPr>
        <w:t>, Bd. 5, 8. Aufl. Freiburg i.Br. 2021, Sp. 24 – 27</w:t>
      </w:r>
    </w:p>
    <w:p w14:paraId="0D57E6E5" w14:textId="77777777" w:rsidR="005F0AFD" w:rsidRDefault="005F0AFD"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„Staatshaushalt. Juristisch“, in: Staatslexikon Recht, Wirtschaft, Gesellschaft, Bd. 5, 8. Aufl. Freiburg i.Br. 2021, Sp. 578 – 582</w:t>
      </w:r>
    </w:p>
    <w:p w14:paraId="20172098" w14:textId="77777777" w:rsidR="005F0AFD" w:rsidRDefault="005F0AFD"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„Staatsvermögen“, in: Staatslexikon Recht, Wirtschaft, Gesellschaft, Bd. 5, 8. Aufl. Freiburg i.Br. 2021, Sp. 654 – 659</w:t>
      </w:r>
    </w:p>
    <w:p w14:paraId="3556A003" w14:textId="77777777" w:rsidR="005F0AFD" w:rsidRDefault="005F0AFD"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„Staatszielbestimmungen“, in: Staatslexikon Recht, Wirtschaft, Gesellschaft, Bd. 5, 8. Aufl. Freiburg i.Br. 2021, Sp. 679</w:t>
      </w:r>
    </w:p>
    <w:p w14:paraId="2CA34B05" w14:textId="77777777" w:rsidR="005F0AFD" w:rsidRDefault="005F0AFD"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„Steuerstaat“, in: Staatslexikon Recht, Wirtschaft, Gesellschaft, Bd. 5, 8. Aufl. Freiburg i.Br. 2021, Sp. 782 – 783</w:t>
      </w:r>
    </w:p>
    <w:p w14:paraId="171DF919" w14:textId="77777777" w:rsidR="005F0AFD" w:rsidRDefault="005F0AFD"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„Untersuchungsausschuss“, in: Staatslexikon Recht, Wirtschaft, Gesellschaft, Bd. 5, 8. Aufl. Freiburg i.Br. 2021, Sp. 1246 – 1250</w:t>
      </w:r>
    </w:p>
    <w:p w14:paraId="024564AA" w14:textId="77777777" w:rsidR="005F0AFD" w:rsidRDefault="005F0AFD"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„Verfassungsgeschichte“, in: Staatslexikon Recht, Wirtschaft, Gesellschaft, Bd. 5, 8. Aufl. Freiburg i.Br. 2021, Sp. 1358 – 1363</w:t>
      </w:r>
    </w:p>
    <w:p w14:paraId="5F9165D3" w14:textId="3C04873C" w:rsidR="00740CBB" w:rsidRDefault="005F0AFD"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Artikel „Verwaltungsrecht“, in: Staatslexikon Recht, Wirtschaft, Gesellschaft, Bd. 5, 8. Aufl. Freiburg i.Br. 2021, Sp. 1499 – 1506       </w:t>
      </w:r>
    </w:p>
    <w:p w14:paraId="7CEA8E4D" w14:textId="77777777" w:rsidR="00EB0A6A" w:rsidRDefault="00C230C0"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w:t>
      </w:r>
      <w:r w:rsidR="008312B5">
        <w:rPr>
          <w:color w:val="434343"/>
          <w:lang w:eastAsia="ja-JP"/>
        </w:rPr>
        <w:t>r</w:t>
      </w:r>
      <w:r>
        <w:rPr>
          <w:color w:val="434343"/>
          <w:lang w:eastAsia="ja-JP"/>
        </w:rPr>
        <w:t>tikel „Theologische Fakultät, Hochschuleinrichtung</w:t>
      </w:r>
      <w:r w:rsidR="00FD4B3A">
        <w:rPr>
          <w:color w:val="434343"/>
          <w:lang w:eastAsia="ja-JP"/>
        </w:rPr>
        <w:t xml:space="preserve"> –</w:t>
      </w:r>
      <w:r>
        <w:rPr>
          <w:color w:val="434343"/>
          <w:lang w:eastAsia="ja-JP"/>
        </w:rPr>
        <w:t xml:space="preserve"> Staatlich“,</w:t>
      </w:r>
      <w:r w:rsidR="00FD4B3A">
        <w:rPr>
          <w:color w:val="434343"/>
          <w:lang w:eastAsia="ja-JP"/>
        </w:rPr>
        <w:t xml:space="preserve"> in: Heribert Hallermann/Thomas Meckel/Michael Droege/Heinrich de Wall (Hrsg.), Lexikon für Kirchen- und Religionsrecht, Bd. 4, Paderborn 2021, S.</w:t>
      </w:r>
      <w:r>
        <w:rPr>
          <w:color w:val="434343"/>
          <w:lang w:eastAsia="ja-JP"/>
        </w:rPr>
        <w:t xml:space="preserve"> </w:t>
      </w:r>
      <w:r w:rsidR="00FD4B3A">
        <w:rPr>
          <w:color w:val="434343"/>
          <w:lang w:eastAsia="ja-JP"/>
        </w:rPr>
        <w:t>425 – 427</w:t>
      </w:r>
    </w:p>
    <w:p w14:paraId="0495ADD6" w14:textId="77777777" w:rsidR="00EB0A6A" w:rsidRDefault="00EB0A6A"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Artikel „Zollunion, europäische“, in: Staatslexikon Recht, Wirtschaft, Gesellschaft, Bd. 6, 8. Aufl. 2021, Sp. 579 – 581</w:t>
      </w:r>
    </w:p>
    <w:p w14:paraId="7A81BBEE" w14:textId="24C497A7" w:rsidR="00C230C0" w:rsidRDefault="00EB0A6A"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lastRenderedPageBreak/>
        <w:t xml:space="preserve">Artikel „Zwang“, in: Staatslexikon Recht, Wirtschaft, Gesellschaft, Bd. 6, 8. Aufl. 2021, Sp. 587 – 590 </w:t>
      </w:r>
    </w:p>
    <w:p w14:paraId="42873374" w14:textId="23B64CFF" w:rsidR="00B91B60" w:rsidRPr="00FA5206" w:rsidRDefault="00B91B60" w:rsidP="00FA5206">
      <w:pPr>
        <w:widowControl w:val="0"/>
        <w:numPr>
          <w:ilvl w:val="0"/>
          <w:numId w:val="8"/>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Artikel „Wintrich, Josef“, </w:t>
      </w:r>
      <w:r w:rsidRPr="00B5150C">
        <w:rPr>
          <w:color w:val="434343"/>
          <w:lang w:eastAsia="ja-JP"/>
        </w:rPr>
        <w:t>in: Historische Kommission bei der Bayerischen Akademie der Wissenschaften (Hrsg.), Neue Deutsche Biographie</w:t>
      </w:r>
      <w:r w:rsidR="00FA5206">
        <w:rPr>
          <w:color w:val="434343"/>
          <w:lang w:eastAsia="ja-JP"/>
        </w:rPr>
        <w:t xml:space="preserve">, Bd. 28, Berlin 2024, S. 270 – 272 </w:t>
      </w:r>
    </w:p>
    <w:p w14:paraId="653351C5" w14:textId="1BAB2C2C" w:rsidR="00064495" w:rsidRPr="00FA5206" w:rsidRDefault="00837C7F" w:rsidP="00CE4EBA">
      <w:pPr>
        <w:widowControl w:val="0"/>
        <w:numPr>
          <w:ilvl w:val="0"/>
          <w:numId w:val="8"/>
        </w:numPr>
        <w:tabs>
          <w:tab w:val="left" w:pos="220"/>
          <w:tab w:val="left" w:pos="720"/>
        </w:tabs>
        <w:autoSpaceDE w:val="0"/>
        <w:autoSpaceDN w:val="0"/>
        <w:adjustRightInd w:val="0"/>
        <w:spacing w:after="80"/>
        <w:ind w:hanging="720"/>
        <w:rPr>
          <w:color w:val="434343"/>
          <w:lang w:eastAsia="ja-JP"/>
        </w:rPr>
      </w:pPr>
      <w:r w:rsidRPr="00FA5206">
        <w:rPr>
          <w:color w:val="434343"/>
          <w:lang w:eastAsia="ja-JP"/>
        </w:rPr>
        <w:t>Artikel „Zeidler, Wolfgang“, in: Historische Kommission bei der Bayerischen Akademie der Wissenschaften (Hrsg.), Neue Deutsche Biographie</w:t>
      </w:r>
      <w:r w:rsidR="00FA5206" w:rsidRPr="00FA5206">
        <w:rPr>
          <w:color w:val="434343"/>
          <w:lang w:eastAsia="ja-JP"/>
        </w:rPr>
        <w:t xml:space="preserve">, </w:t>
      </w:r>
      <w:r w:rsidR="00FA5206">
        <w:rPr>
          <w:color w:val="434343"/>
          <w:lang w:eastAsia="ja-JP"/>
        </w:rPr>
        <w:t xml:space="preserve">Bd. 28, Berlin 2024, S. 620 – 621 </w:t>
      </w:r>
    </w:p>
    <w:p w14:paraId="50881050" w14:textId="77777777" w:rsidR="00CA0516" w:rsidRPr="00AE5B99" w:rsidRDefault="00CA0516" w:rsidP="00CE4EBA">
      <w:pPr>
        <w:widowControl w:val="0"/>
        <w:tabs>
          <w:tab w:val="left" w:pos="220"/>
          <w:tab w:val="left" w:pos="720"/>
        </w:tabs>
        <w:autoSpaceDE w:val="0"/>
        <w:autoSpaceDN w:val="0"/>
        <w:adjustRightInd w:val="0"/>
        <w:spacing w:after="80"/>
        <w:ind w:left="720"/>
        <w:rPr>
          <w:color w:val="434343"/>
          <w:lang w:eastAsia="ja-JP"/>
        </w:rPr>
      </w:pPr>
    </w:p>
    <w:p w14:paraId="314F86A6" w14:textId="77777777" w:rsidR="00A43562" w:rsidRPr="000F2895" w:rsidRDefault="00A43562" w:rsidP="00CE4EBA">
      <w:pPr>
        <w:widowControl w:val="0"/>
        <w:autoSpaceDE w:val="0"/>
        <w:autoSpaceDN w:val="0"/>
        <w:adjustRightInd w:val="0"/>
        <w:spacing w:after="80"/>
        <w:rPr>
          <w:b/>
          <w:bCs/>
          <w:color w:val="25374D"/>
          <w:lang w:eastAsia="ja-JP"/>
        </w:rPr>
      </w:pPr>
      <w:r w:rsidRPr="000F2895">
        <w:rPr>
          <w:b/>
          <w:bCs/>
          <w:color w:val="25374D"/>
          <w:lang w:eastAsia="ja-JP"/>
        </w:rPr>
        <w:t>VII. Didaktische Darstellungen von Rechtsprechung</w:t>
      </w:r>
    </w:p>
    <w:p w14:paraId="715BFD48" w14:textId="77777777" w:rsidR="00C50CF1" w:rsidRPr="000F2895" w:rsidRDefault="00C50CF1" w:rsidP="00CE4EBA">
      <w:pPr>
        <w:widowControl w:val="0"/>
        <w:autoSpaceDE w:val="0"/>
        <w:autoSpaceDN w:val="0"/>
        <w:adjustRightInd w:val="0"/>
        <w:spacing w:after="80"/>
        <w:rPr>
          <w:b/>
          <w:bCs/>
          <w:color w:val="25374D"/>
          <w:lang w:eastAsia="ja-JP"/>
        </w:rPr>
      </w:pPr>
    </w:p>
    <w:p w14:paraId="52ED69B7"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BVerwG, NVwZ 2005, 1072 - privatrechtliche Ausgestaltung eines Anschluß- und Benutzungszwangs, JuS 2006, S. 274 - 275</w:t>
      </w:r>
    </w:p>
    <w:p w14:paraId="78FD8265"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OVG Lüneburg, NJW 2006, 391 - polizeiliches Gefährderanschreiben, JuS 2006, S. 276 - 277</w:t>
      </w:r>
    </w:p>
    <w:p w14:paraId="308052A1"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OVG Münster, NJW 2005, 3162 - straßenrechtliche Sondernutzung durch Werbefahrzeug, JuS 2006, S. 277 - 278</w:t>
      </w:r>
    </w:p>
    <w:p w14:paraId="45EEC0BB"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BVerwG, NVwZ 2005, 1325 - Kampfhundebesteuerung, JuS 2006, S. 381 - 382</w:t>
      </w:r>
    </w:p>
    <w:p w14:paraId="7364A264"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BVerwG, NVwZ 2005, 1061 - Flugroutenfestlegung mit Auslandsbezug, JuS 2006, S. 469 - 472</w:t>
      </w:r>
    </w:p>
    <w:p w14:paraId="76B6DC12"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BGHZ 161, 6 = NJW 2005, 286 - Verwaltungshelfer in der Staatshaftung, JuS 2006, S. 570 - 572</w:t>
      </w:r>
    </w:p>
    <w:p w14:paraId="6025A795"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VG Köln, NVwZ 2005, 1341 - Festsetzung von Hebesätzen für die Grundsteuer durch die Kommunalaufsicht, JuS 2006, S. 664 - 666</w:t>
      </w:r>
    </w:p>
    <w:p w14:paraId="1F9AE183"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BVerwG, NJW 2006, 536 - Rückforderung eines Subventionsdarlehens, JuS 2006, S. 763 - 764</w:t>
      </w:r>
    </w:p>
    <w:p w14:paraId="13CA2507"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VGH Kassel, NVwZ 2006, 610 - amtliche Wahlbeeinflussung bei einer Oberbürgermeisterwahl, JuS 2006, S. 764 - 766</w:t>
      </w:r>
    </w:p>
    <w:p w14:paraId="4CFB2721"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RhPfVerfGH, NVwZ 2006, 206 - kommunale Selbstverwaltung und europäisches Gemeinschaftsrecht, JuS 2006, S. 766 - 768</w:t>
      </w:r>
    </w:p>
    <w:p w14:paraId="5A18EF8F"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BVerwG, NVwZ 2006, 214 - Vereinsverbot wegen Verstoß gegen staatsschutzrechtliche Strafgesetze, JuS 2006, 950 - 951</w:t>
      </w:r>
    </w:p>
    <w:p w14:paraId="09AB213C"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BVerwG, NJW 2006, 1225 - Rechtsnatur von Maßnahmen der Strafverfolgungsvorsorge, JuS 2006, 1039 - 1041</w:t>
      </w:r>
    </w:p>
    <w:p w14:paraId="0526BDF0"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OVG Hamburg, NJW 2005, 2247 - Nachforschungspflicht der Polizei vor Abschleppen von KfZ, JuS 2006, 1042 - 1044</w:t>
      </w:r>
    </w:p>
    <w:p w14:paraId="3A514A13"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BVerwG, NVwZ 2006, 1068 - Beiträge zur Handwerkskammer, JuS 2006, 1140 - 1142</w:t>
      </w:r>
    </w:p>
    <w:p w14:paraId="5B9382FB"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BVerwG, NVwZ 2006, 1184 - Rückwirkende Änderung von Verwaltungsvorschriften, JuS 2007, 176 - 179</w:t>
      </w:r>
    </w:p>
    <w:p w14:paraId="4514CD58"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BVerwG, NVwZ 2006, 1072 - Rechtsnachfolge im Verwaltungsrecht, JuS 2007, S. 274 -275</w:t>
      </w:r>
    </w:p>
    <w:p w14:paraId="4A1693F7"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BVerwG, NVwZ 2006, 1413 - Normenklarheit, JuS 2007, S. 380 - 382</w:t>
      </w:r>
    </w:p>
    <w:p w14:paraId="5F375341"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BGH, NVwZ 2006, 1084 - Verletzung der Verkehrssicherungspflicht bei Organleihe, JuS 2007, S. 482 - 484</w:t>
      </w:r>
    </w:p>
    <w:p w14:paraId="6881CD5C"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lastRenderedPageBreak/>
        <w:t>BGH, NVwZ 2006, 1207 - öffentlich-rechtliche culpa in contrahendo im Bauplanungsrecht, JuS 2007, S. 580 - 581</w:t>
      </w:r>
    </w:p>
    <w:p w14:paraId="56B04013"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OVG Münster, BeckRS 2005, 30791 - beamtenrechtlicher Konkurrentenstreit, JuS 2007, S. 675 - 676</w:t>
      </w:r>
    </w:p>
    <w:p w14:paraId="42970A32"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OVG Koblenz, BeckRS 2006, 26005 - Anleinzwang für Hunde, JuS 2007, S. 769 - 770 </w:t>
      </w:r>
    </w:p>
    <w:p w14:paraId="376EEC38"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OVG Münster, BeckRS 2006, 24877 - Mindeststärke einer Fraktion im Gemeinderat, JuS 2007, S. 865 - 866</w:t>
      </w:r>
    </w:p>
    <w:p w14:paraId="3568E1D5"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BVerwGE 126, 388 - Bekanntmachung von Satzungen, JuS 2007, S. 955 - 958</w:t>
      </w:r>
    </w:p>
    <w:p w14:paraId="13AC78C8"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Friedhelm Hufen</w:t>
      </w:r>
      <w:r w:rsidRPr="00AE5B99">
        <w:rPr>
          <w:color w:val="434343"/>
          <w:lang w:eastAsia="ja-JP"/>
        </w:rPr>
        <w:t>) BVerwG, NVwZ 2007, 470 - Ergänzung von Ermessenserwägungen im Verwaltungsprozeß, JuS 2007, S. 1049 - 1051</w:t>
      </w:r>
    </w:p>
    <w:p w14:paraId="5AA2404F"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BVerwG, NVwZ 2007, 584 - Abgabe freiwilliger Selbstverwaltungsaufgaben, JuS 2007, S. 1051 - 1052</w:t>
      </w:r>
    </w:p>
    <w:p w14:paraId="1D8A049F"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proofErr w:type="gramStart"/>
      <w:r w:rsidRPr="00AE5B99">
        <w:rPr>
          <w:color w:val="434343"/>
          <w:lang w:eastAsia="ja-JP"/>
        </w:rPr>
        <w:t>MVVerfG,  LKV</w:t>
      </w:r>
      <w:proofErr w:type="gramEnd"/>
      <w:r w:rsidRPr="00AE5B99">
        <w:rPr>
          <w:color w:val="434343"/>
          <w:lang w:eastAsia="ja-JP"/>
        </w:rPr>
        <w:t xml:space="preserve"> 2007, 457 - Kreisgebietsreform Mecklenburg-Vorpommern, JuS 2007, S. 1144 - 1145</w:t>
      </w:r>
    </w:p>
    <w:p w14:paraId="52E00D25"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BVerwG, NVwZ 2007, 1315 - Verwaltungshaftung zwischen Bund und Ländern, JuS 2008, S. 77 - 79</w:t>
      </w:r>
    </w:p>
    <w:p w14:paraId="786525EC"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RhPfVerfGH, NVwZ 2007, 1052 - Altersgrenze für kommunale Wahlbeamte, JuS 2008, S. 79 - 80</w:t>
      </w:r>
    </w:p>
    <w:p w14:paraId="5B6CB4A3"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VG Wiesbaden, NVwZ-RR 2007, 528 - Verwaltungsaktqualität des Entzugs einer Dienstwaffe, JuS 2008, S. 168 - 169</w:t>
      </w:r>
    </w:p>
    <w:p w14:paraId="745AAC40"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BVerwG, NVwZ 2007, 1431, JuS 2008 - Begriff der Versammlung bei sog. gemischten Veranstaltungen, JuS 2008, S. 172 - 173</w:t>
      </w:r>
    </w:p>
    <w:p w14:paraId="558F07B0"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BVerwG, NVwZ 2007, 709 - Rücknahme von Verwaltungsakten, JuS 2008, S. 266 - 267  </w:t>
      </w:r>
    </w:p>
    <w:p w14:paraId="6B26CF44"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VGH München, NVwZ-RR 2008, 53, JuS 2008, S. 369 - 370 - Rangverhältnis kommunaler Einnahmequellen</w:t>
      </w:r>
    </w:p>
    <w:p w14:paraId="4AEA45DC"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VG Gelsenkirchen, BeckRS 2007, 27451, JuS 2008, S. 453 - 454 - kommunalaufsichtliche Durchsetzung vermeintlicher Zahlungsansprüche</w:t>
      </w:r>
    </w:p>
    <w:p w14:paraId="1886E0F7"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BGH, BGHZ 170, 260, JuS 2008, S. 645 - 647 - Amtshaftung wegen verzögerter Grundbucheintragung</w:t>
      </w:r>
    </w:p>
    <w:p w14:paraId="0971279F"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OVG Münster, BeckRS 2007, 28459, JuS 2008, S. 923 - 925 - Zulässigkeit </w:t>
      </w:r>
      <w:proofErr w:type="gramStart"/>
      <w:r w:rsidRPr="00AE5B99">
        <w:rPr>
          <w:color w:val="434343"/>
          <w:lang w:eastAsia="ja-JP"/>
        </w:rPr>
        <w:t>kommunaler Bürgerbegehren</w:t>
      </w:r>
      <w:proofErr w:type="gramEnd"/>
    </w:p>
    <w:p w14:paraId="5509A19A"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VGH Kassel, BeckRS 2008, 35219, JuS 2008, S. 925 - 926 - Privatisierung von Aufgaben kommunaler Daseinsvorsorge</w:t>
      </w:r>
    </w:p>
    <w:p w14:paraId="6D897C8A"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OVG Münster, NVwZ 2008, 1031, JuS 2008, S. 1020 - 1022 - Kommunalwirtschaftliche Betätigung</w:t>
      </w:r>
    </w:p>
    <w:p w14:paraId="4E7BB40A"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VGH Mannheim, NVwZ-RR 2008, 700, JuS 2009, S. 170 - 172 - Einschreiten der Polizei zu Gunsten privater Rechte</w:t>
      </w:r>
    </w:p>
    <w:p w14:paraId="7AB6D1D9"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VGH Mannheim, NVwZ-RR 2008, 696, JuS 2009, S. 172 - 173 - Verwirkung von polizeilichen und ordnungsrechtlichen Eingriffsbefugnissen</w:t>
      </w:r>
    </w:p>
    <w:p w14:paraId="529D7974"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VGH Kassel, NVwZ-RR 2008, 807, JuS 2009, S. 264 - 265 - Wahl von Ausschussmitgliedern auf kommunaler Ebene</w:t>
      </w:r>
    </w:p>
    <w:p w14:paraId="7E492849"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OVG Magdeburg, NVwZ-RR 2008, 810, JuS 2009, S. 265 - 267 - Anschluss- und Benutzungszwang bei öffentlichen Einrichtungen einer Gemeinde</w:t>
      </w:r>
    </w:p>
    <w:p w14:paraId="579B6DDB"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lastRenderedPageBreak/>
        <w:t>BVerwG, NVwZ 2009, 122, JuS 2009, S. 368 - 369 - Titelfunktion eines Verwaltungsakts auch nach Ersatzvornahme</w:t>
      </w:r>
    </w:p>
    <w:p w14:paraId="00D255C9"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VGH Kassel, NVwZ 2009, 60, JuS 2009, S. 463 - 465 - Beteiligung Dritter am Informationszugang</w:t>
      </w:r>
    </w:p>
    <w:p w14:paraId="2031B0BA"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SächsVerfGH, NVwZ 2009, 44, JuS 2009, S. 465 - 466 - Neubestimmung des Kreissitzes</w:t>
      </w:r>
    </w:p>
    <w:p w14:paraId="2D558599"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OVG Lüneburg, NVwZ 2009, 258, JuS 2009, S. 560 - 561 - Unterlassungsanspruch eines Konkurrenten im gemeindlichen Wirtschaftsrecht</w:t>
      </w:r>
    </w:p>
    <w:p w14:paraId="44F2FC23"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VGH Kassel, NVwZ-RR 2009, 62, JuS 2009, S. 561 - 563 - ordnungsrechtliche Verbot von Pokerturnieren</w:t>
      </w:r>
    </w:p>
    <w:p w14:paraId="38BF99BA"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OVG Magdeburg, NVwZ-RR 2009, 226, JuS 2009, S. 660 - 661 - Aufrechnung im öffentlichen Recht</w:t>
      </w:r>
    </w:p>
    <w:p w14:paraId="29794FFC"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VGH Mannheim, NVwZ-RR 2009, 357, JuS 2009, S. 749 - 751 - Entscheidung über Wiederaufgreifensantrag</w:t>
      </w:r>
    </w:p>
    <w:p w14:paraId="2DFE411A"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VG Düsseldorf, BeckRS 2008, 38299, JuS 2009, S. 856 - 857 - Kommunalverfassungsstreit</w:t>
      </w:r>
    </w:p>
    <w:p w14:paraId="0E145206"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OVG Münster, BeckRS 2009, 32546, JuS 2009, S. 955 - 956 - Auslegung öffentlich-rechtlicher Verträge</w:t>
      </w:r>
    </w:p>
    <w:p w14:paraId="3C9B5FE9"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VGH Mannheim, BeckRS 2009, 34638, JuS 2009, S. 1043 - 1044 - Durchsuchungsanordnung in der Verwaltungsvollstreckung</w:t>
      </w:r>
    </w:p>
    <w:p w14:paraId="2FBB3C2C"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Allgemeines Verwaltungsrecht: Bekanntgabe eines Verkehrszeichens, JuS 2010, S. 91 - 92</w:t>
      </w:r>
    </w:p>
    <w:p w14:paraId="3D00253F"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Ordnungsrecht: Sicherung eines verbotswidrig abgestellten Fahrzeugs, JuS 2010, S. 279 - 280</w:t>
      </w:r>
    </w:p>
    <w:p w14:paraId="49A1C3BE"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Polizei- und Ordnungsrecht: Vorsorgemaßnahmen zur Gefahrenabwehr durch Polizeiverordnung, JuS 2010, S. 373 - 375</w:t>
      </w:r>
    </w:p>
    <w:p w14:paraId="5DDF3267"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Kommunalrecht: Gemeindliche Aufgabenverantwortung aus Art. 28 II 1 GG, JuS 2010, S. 375 - 376</w:t>
      </w:r>
    </w:p>
    <w:p w14:paraId="569D8636"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Allgemeines Verwaltungsrecht: Behördliches Schreiben als Verwaltungsakt, JuS 2010, S. 471 - 472</w:t>
      </w:r>
    </w:p>
    <w:p w14:paraId="7432BBED"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Kommunalabgabenrecht: Zweitwohnungsteuer, JuS 2010, S. 566 - 568</w:t>
      </w:r>
    </w:p>
    <w:p w14:paraId="59606C08"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Kommunalrecht: Garantie kommunaler Selbstverwaltung, JuS 2010, S. 660 - 662</w:t>
      </w:r>
    </w:p>
    <w:p w14:paraId="631D4F56"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Allgemeines Verwaltungsrecht: Aufhebung eines VA und Wiederaufgreifen des Verfahrens, JuS 2010, S. 753 - 754</w:t>
      </w:r>
    </w:p>
    <w:p w14:paraId="76798DAD"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Allgemeines Verwaltungsrecht: Beurteilungsspielraum, JuS 2010, S. 843 - 844</w:t>
      </w:r>
    </w:p>
    <w:p w14:paraId="303D1438"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Kommunalrecht: Finanzielle Zuwendungen für kommunale Einzelmandatsträger, JuS 2010, S. 943 - 944</w:t>
      </w:r>
    </w:p>
    <w:p w14:paraId="323D7140"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Polizeirecht: Gefahr, JuS 2010, S. 1132 - 1134</w:t>
      </w:r>
    </w:p>
    <w:p w14:paraId="7A2E73F8"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Allgemeines Verwaltungsrecht: Rücknahmefrist bei Unklarheit über Verwaltungsaktqualität einer Maßnahme, JuS 2011, S. 95 - 96</w:t>
      </w:r>
    </w:p>
    <w:p w14:paraId="6323FB7C"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Staatshaftungsrecht: Haftungsrückgriff bei Beliehenem, JuS 2011, S. 191 - 192</w:t>
      </w:r>
    </w:p>
    <w:p w14:paraId="7673B0C4"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Kommunalrecht: Anfechtung einer Bürgermeisterwahl, JuS 2011, S. 383 - 384</w:t>
      </w:r>
    </w:p>
    <w:p w14:paraId="4F513E8C"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Ordnungsrecht: Eingriff, JuS 2011, S. 479 - 480</w:t>
      </w:r>
    </w:p>
    <w:p w14:paraId="7AD957B3"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Allgemeines Verwaltungsrecht: Allgemeinverfügung, JuS 2011, S. 575 - 576</w:t>
      </w:r>
    </w:p>
    <w:p w14:paraId="7F065BDE"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lastRenderedPageBreak/>
        <w:t>Allgemeines Verwaltungsrecht: Funktionale Selbtverwaltung, JuS 2011, S. 670 - 672</w:t>
      </w:r>
    </w:p>
    <w:p w14:paraId="31FF5EF1"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Ordnungs-/Sicherheitsrecht: Ermessensfehler, JuS 2011, S. 761 - 763</w:t>
      </w:r>
    </w:p>
    <w:p w14:paraId="2CEA10CE"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Kommunalrecht: Konnexitätsgebot, JuS 2011, S. 860 - 862</w:t>
      </w:r>
    </w:p>
    <w:p w14:paraId="2A936CBA"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Allgemeines Verwaltungsrecht: Verkehrsschild als Allgemeinverfügung, JuS 2011, S. 953 - 955</w:t>
      </w:r>
    </w:p>
    <w:p w14:paraId="74BEF6C1"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Polizei- und Ordnungsrecht: Personenfeststellung beim Anscheinsstörer, JuS 2011, S. 955 - 957</w:t>
      </w:r>
    </w:p>
    <w:p w14:paraId="5D0D4C7D"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Staatshaftungsrecht: Öffentlich-rechtliche Geschäftsführung ohne Auftrag, JuS 2011, S. 1055 - 1065</w:t>
      </w:r>
    </w:p>
    <w:p w14:paraId="623C3358"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Kommunalrecht: Befangenheit von Gemeinderatsmitgliedern bei der örtlichen Bauleitplanung, JuS 2011, S. 1143 - 1145</w:t>
      </w:r>
    </w:p>
    <w:p w14:paraId="3A8AB24D"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Allgemeines Verwaltungsrecht: Verjährung im Öffentlichen Recht, JuS 2012, S. 93 - 95</w:t>
      </w:r>
    </w:p>
    <w:p w14:paraId="75E70D0F"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Allgemeines Verwaltungsrecht: Leistungsbescheid bei Schuldbeitritt, JuS 2012, S. 381 - 382</w:t>
      </w:r>
    </w:p>
    <w:p w14:paraId="3BECF787"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Kommunalrecht: Vergabe öffentlicher Räume an Parteiorganisationen, JuS 2012, S. 383 - 384</w:t>
      </w:r>
    </w:p>
    <w:p w14:paraId="0CE0D248"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Allgemeines Verwaltungrecht, Kommunalrecht: Verwaltungsakt, kommunale Organisationshoheit und Privatisierung, JuS 2012, S. 479 - 480</w:t>
      </w:r>
    </w:p>
    <w:p w14:paraId="27EFDEA3"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Allgemeines Verwaltungsrecht, Gesundheitsrecht: „Warnung" vor sog. E-Zigaretten, JuS 2012, S. 575 - 576</w:t>
      </w:r>
    </w:p>
    <w:p w14:paraId="383CDBD2" w14:textId="42B2B4B9"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Allgemeines Verwaltungsrecht: Heilung eines Anhörungsfehlers im Verwaltungsverf</w:t>
      </w:r>
      <w:r w:rsidR="000F2895">
        <w:rPr>
          <w:color w:val="434343"/>
          <w:lang w:eastAsia="ja-JP"/>
        </w:rPr>
        <w:t>ah</w:t>
      </w:r>
      <w:r w:rsidRPr="00AE5B99">
        <w:rPr>
          <w:color w:val="434343"/>
          <w:lang w:eastAsia="ja-JP"/>
        </w:rPr>
        <w:t>ren, JuS 2012, S. 671 – 672</w:t>
      </w:r>
    </w:p>
    <w:p w14:paraId="11C9E182"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Staatshaftungsrecht: Haftung einer Stadt als Straßenanlieger hinsichtlich vernachlässigter Räum- und Streupflicht, JuS 2012, S. 763 – 765</w:t>
      </w:r>
    </w:p>
    <w:p w14:paraId="08DCE004"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Polizei- und Ordnungsrecht: Auswahl zwischen mehreren Störern auf der „sekundären“ Ebene der Kostentragung, JuS 2012, S. 863 – 864</w:t>
      </w:r>
    </w:p>
    <w:p w14:paraId="1C8ABE3D"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Allgemeines Verwaltungsrecht: Widerruf eines VA bei Änderung von Hausnummern, JuS 2012, S. 958 – 959</w:t>
      </w:r>
    </w:p>
    <w:p w14:paraId="11B0FA43"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Allgemeines Verwaltungsrecht: Zwangsgeld bei Unterlassungsgebot, JuS 2012, S. 1151 – 1152</w:t>
      </w:r>
    </w:p>
    <w:p w14:paraId="4D7D967C"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Polizeirecht: Strafverfolgungsvorsorge zwischen Polizei- und Strafprozessrecht, JuS 2013, S. 94 – 96</w:t>
      </w:r>
    </w:p>
    <w:p w14:paraId="6602EB16"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Polizeirecht: Durchsuchung einer Person nach Identitätsfeststellung, JuS 2013, S. 189 – 190</w:t>
      </w:r>
    </w:p>
    <w:p w14:paraId="1901953E"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Polizeirecht und Kommunalrecht: Benutzung öffentlicher Einrichtungen der Gemeinde, JuS 2013, S. 287 – 288</w:t>
      </w:r>
    </w:p>
    <w:p w14:paraId="6CC734BA"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Polizei- und Ordnungsrecht: Störerauswahl, JuS 2013, S. 378 – 380</w:t>
      </w:r>
    </w:p>
    <w:p w14:paraId="313EAF2B"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Besonderes Verwaltungsrecht: Straßenrecht, JuS 2013, S. 479 - 480</w:t>
      </w:r>
    </w:p>
    <w:p w14:paraId="4CD2D82A"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Allgemeines Verwaltungsrecht und Wasserrecht, JuS 2013, S. 573 - 574</w:t>
      </w:r>
    </w:p>
    <w:p w14:paraId="4FBBB167"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Besonderes Verwaltungsrecht: Zeitliche Verlegung einer NPD-Versammlung wegen des Holocaust Gedenktags, JuS 2013, S. 671 - 672</w:t>
      </w:r>
    </w:p>
    <w:p w14:paraId="6E9196B4"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Staatsorganisationsrecht, Verwaltungsrecht: Gesetzgebungskompetenz für Gebühren, JuS 2013, S. 765 - 767</w:t>
      </w:r>
    </w:p>
    <w:p w14:paraId="624F72DF"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lastRenderedPageBreak/>
        <w:t>Allgemeines Verwaltungsrecht, Lebensmittelrecht: Naming und Shaming, JuS 2013, S. 860 - 862</w:t>
      </w:r>
    </w:p>
    <w:p w14:paraId="1CF6BC0A" w14:textId="77777777" w:rsidR="00A43562" w:rsidRPr="00AE5B99"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Staatshaftungsrecht: Beweislastregel, JuS 2013, S. 863 - 864</w:t>
      </w:r>
    </w:p>
    <w:p w14:paraId="40989C1B" w14:textId="3C7133ED" w:rsidR="00A43562" w:rsidRDefault="00A4356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Kommunalrecht: Öffentliche Einrichtungen der Gemeinden, JuS 2013, S. 957 </w:t>
      </w:r>
      <w:r w:rsidR="00C6486E">
        <w:rPr>
          <w:color w:val="434343"/>
          <w:lang w:eastAsia="ja-JP"/>
        </w:rPr>
        <w:t>–</w:t>
      </w:r>
      <w:r w:rsidRPr="00AE5B99">
        <w:rPr>
          <w:color w:val="434343"/>
          <w:lang w:eastAsia="ja-JP"/>
        </w:rPr>
        <w:t xml:space="preserve"> 958</w:t>
      </w:r>
    </w:p>
    <w:p w14:paraId="585CCD28" w14:textId="0C29629F" w:rsidR="00C6486E" w:rsidRDefault="00C6486E"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Allgemeines Verwaltungsrecht: Abgrenzung öffentlich-rechtlicher und privatrechtlicher Vertrag, JuS 2013, S. 1055 – 1056 </w:t>
      </w:r>
    </w:p>
    <w:p w14:paraId="05D7450C" w14:textId="77777777" w:rsidR="00C6486E" w:rsidRDefault="00C6486E"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Daseinsvorsorge, JuS 2013, S. 1150 – 1152</w:t>
      </w:r>
    </w:p>
    <w:p w14:paraId="784192B8" w14:textId="77777777" w:rsidR="00C6486E" w:rsidRDefault="00C6486E"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Besonderes Verwaltungsrecht: Abgrenzung zwischen Straßen- und Straßenverkehrsrecht, JuS 2014, S. 94 – 96 </w:t>
      </w:r>
    </w:p>
    <w:p w14:paraId="0DE1088F" w14:textId="77777777" w:rsidR="00C6486E" w:rsidRDefault="00C6486E"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Allgemeines Verwaltungsrecht: Sachliche Zuständigkeit der Bundespolizei, JuS 2014, S. 191 – 192 </w:t>
      </w:r>
    </w:p>
    <w:p w14:paraId="2AB915C6" w14:textId="78052966" w:rsidR="00C6486E" w:rsidRDefault="00C6486E"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Besonderes Verwaltungsrecht: Polizei- und Ordnungsrecht, JuS 2014, S. 383 – 384  </w:t>
      </w:r>
    </w:p>
    <w:p w14:paraId="59072531" w14:textId="42FF5F80" w:rsidR="00C6486E" w:rsidRDefault="00C6486E"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Allgemeines Verwaltungsrecht und Wirtschaftsverwaltungsrecht: Grenzen des Teilnahmeanspruchs bei festgesetzten Märkten, JuS 2014, S. 574 – 576 </w:t>
      </w:r>
    </w:p>
    <w:p w14:paraId="59FF80EC" w14:textId="69336829" w:rsidR="00C6486E" w:rsidRDefault="00C6486E"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Straßen- und Wegerecht: Sondernutzungserlaubnis, JuS 2014, S. 765 – 768 </w:t>
      </w:r>
    </w:p>
    <w:p w14:paraId="742FE06E" w14:textId="48B0B54B" w:rsidR="00C6486E" w:rsidRDefault="00C6486E"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Kommunale Neugliederung, JuS 2014, S. 862 – 864</w:t>
      </w:r>
    </w:p>
    <w:p w14:paraId="1E5EA33C" w14:textId="77777777" w:rsidR="009C3990" w:rsidRDefault="0078105E"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Benutzungsregeln eines kommunalen Friedhofs, JuS 2014, S. 958 – 960</w:t>
      </w:r>
    </w:p>
    <w:p w14:paraId="790324C7" w14:textId="77777777" w:rsidR="00BB75D9" w:rsidRDefault="009C3990"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Staatshaftungsrecht: „Feindliches Grün“, JuS 2014, S. 1055 – 1056</w:t>
      </w:r>
    </w:p>
    <w:p w14:paraId="61B7DB5D" w14:textId="5F4353F7" w:rsidR="0078105E" w:rsidRDefault="00BB75D9"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Kommunalrecht: Befangenheit von Gemeinderatsvertretern, JuS 2014, S. 1150 – 1152 </w:t>
      </w:r>
    </w:p>
    <w:p w14:paraId="0FB805FF" w14:textId="77777777" w:rsidR="002A415A" w:rsidRDefault="00B95E73"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Staatshaftungsrecht: Haftung für Verwaltungshelfer als Erfüllungsgehilfe, JuS 2015, S. 92 – 94</w:t>
      </w:r>
    </w:p>
    <w:p w14:paraId="54912F44" w14:textId="77777777" w:rsidR="00EC6064" w:rsidRDefault="002A415A"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und Schulrecht: Aufgabenverteilung zwischen Gemeinden und Kreisen im Schulbereich, JuS 2015, S. 190 – 192</w:t>
      </w:r>
    </w:p>
    <w:p w14:paraId="201DF411" w14:textId="77777777" w:rsidR="002C0922" w:rsidRDefault="00EC6064"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und Wirtschaftsverwaltungsrecht: Regulierungs- und Rechtsfolgeermessen, JuS 2015, S. 286 – 288</w:t>
      </w:r>
    </w:p>
    <w:p w14:paraId="7B55DBE7" w14:textId="77777777" w:rsidR="00DB1ED7" w:rsidRDefault="002C092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und Beamtenrecht: Abgrenzung von Verwaltungsakt und innerdienstlicher Weisung, JuS 2015, S. 383 – 384</w:t>
      </w:r>
    </w:p>
    <w:p w14:paraId="72F7A8B3" w14:textId="77777777" w:rsidR="00A2157E" w:rsidRDefault="00DB1ED7"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Keine Nichtigkeit der Einbürgerung bei Identitätstäuschung, JuS 2015, S. 668 – 670</w:t>
      </w:r>
    </w:p>
    <w:p w14:paraId="73811D24" w14:textId="77777777" w:rsidR="008976CB" w:rsidRDefault="00A2157E"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Kommunalabgabenrechtlicher Subsidiaritätsgrundsatz, JuS 2015, S. 767 – 768</w:t>
      </w:r>
    </w:p>
    <w:p w14:paraId="24F1D87C" w14:textId="77777777" w:rsidR="00422B7D" w:rsidRDefault="008976CB"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Verwaltungsvollstreckung, JuS 2015, S. 862 – 864</w:t>
      </w:r>
    </w:p>
    <w:p w14:paraId="4BD43B9D" w14:textId="77777777" w:rsidR="00EC72EF" w:rsidRDefault="00422B7D"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Aufrechnung mit und Abtretung von Forderungen im öffentlichen Recht, JuS 2015, S. 959 – 960</w:t>
      </w:r>
    </w:p>
    <w:p w14:paraId="5032F54D" w14:textId="77777777" w:rsidR="005A2651" w:rsidRDefault="00EC72EF"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Landesverfassungsrecht: Konnexitätsprinzip und spätere Aufgabenveränderung durch Bundesrecht, JuS 2015, S. 1053 – 1055</w:t>
      </w:r>
    </w:p>
    <w:p w14:paraId="01907983" w14:textId="77777777" w:rsidR="00C03635" w:rsidRDefault="005A2651"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Ausschluss eines Mitglieds des Gemeinderats, JuS 2015, S. 1145 – 1147</w:t>
      </w:r>
    </w:p>
    <w:p w14:paraId="5BE37D5B" w14:textId="77777777" w:rsidR="00E80561" w:rsidRDefault="00C03635"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Auflösende Bedingung als Nebenbestimmung zu einem VA, JuS 2016, S. 187 – 189</w:t>
      </w:r>
    </w:p>
    <w:p w14:paraId="63F904BF" w14:textId="77777777" w:rsidR="00E80561" w:rsidRDefault="00E80561"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Staatsorganisationsrecht und Verwaltungsrecht: Prüfung einer IHK durch den Rechnungshof, JuS 2016, S. 281 – 282 </w:t>
      </w:r>
    </w:p>
    <w:p w14:paraId="151542BD" w14:textId="77777777" w:rsidR="000E5340" w:rsidRDefault="00E80561"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Staatsorganisationsrecht und Verwaltungsrecht: Informationsansprüche gegen die </w:t>
      </w:r>
      <w:r>
        <w:rPr>
          <w:color w:val="434343"/>
          <w:lang w:eastAsia="ja-JP"/>
        </w:rPr>
        <w:lastRenderedPageBreak/>
        <w:t>Wissenschaftlichen Dienste des Deutschen Bundestags, JuS 2016, S. 283 – 285</w:t>
      </w:r>
    </w:p>
    <w:p w14:paraId="140F2FDF" w14:textId="77777777" w:rsidR="00BB10CF" w:rsidRDefault="000E5340"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Steuerrecht: Rechtliche Zulässigkeit einer kommunalen Pferdesteuer, JuS 2016, S. 382 – 384</w:t>
      </w:r>
    </w:p>
    <w:p w14:paraId="25B97CB3" w14:textId="77777777" w:rsidR="001407A0" w:rsidRDefault="00BB10CF"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Kommunale Finanzhoheit und Selbstverwaltungsgarantie, JuS 2016, S. 478 – 480</w:t>
      </w:r>
    </w:p>
    <w:p w14:paraId="004ACAD0" w14:textId="77777777" w:rsidR="001E7293" w:rsidRDefault="001407A0"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Beurteilungsspielraum der Verwaltung, JuS 2016, S. 860 – 862</w:t>
      </w:r>
    </w:p>
    <w:p w14:paraId="1A86653C" w14:textId="77777777" w:rsidR="008D6648" w:rsidRDefault="001E7293"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Allgemeines Verwaltungsrecht: Widerrufsvorbehalt </w:t>
      </w:r>
      <w:proofErr w:type="gramStart"/>
      <w:r>
        <w:rPr>
          <w:color w:val="434343"/>
          <w:lang w:eastAsia="ja-JP"/>
        </w:rPr>
        <w:t>bei gebundene begünstigenden Verwaltungsakt</w:t>
      </w:r>
      <w:proofErr w:type="gramEnd"/>
      <w:r>
        <w:rPr>
          <w:color w:val="434343"/>
          <w:lang w:eastAsia="ja-JP"/>
        </w:rPr>
        <w:t>, JuS 2016, S. 959 – 960</w:t>
      </w:r>
    </w:p>
    <w:p w14:paraId="3B8B9BA0" w14:textId="77777777" w:rsidR="004D1283" w:rsidRDefault="008D6648"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Öffentlich-rechtliche und privatrechtliche GoA, JuS 2016, S. 1050 – 1051</w:t>
      </w:r>
    </w:p>
    <w:p w14:paraId="28750A74" w14:textId="60B91B18" w:rsidR="004D1283" w:rsidRDefault="004D1283"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Bekanntgabe und Wirksamkeit</w:t>
      </w:r>
      <w:r w:rsidR="00EA557E">
        <w:rPr>
          <w:color w:val="434343"/>
          <w:lang w:eastAsia="ja-JP"/>
        </w:rPr>
        <w:t xml:space="preserve"> eines Verwaltungsakts, JuS 2017</w:t>
      </w:r>
      <w:r>
        <w:rPr>
          <w:color w:val="434343"/>
          <w:lang w:eastAsia="ja-JP"/>
        </w:rPr>
        <w:t xml:space="preserve">, S. 91 – 93 </w:t>
      </w:r>
    </w:p>
    <w:p w14:paraId="041CF98D" w14:textId="230A3D11" w:rsidR="004D1283" w:rsidRDefault="004D1283"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Ermessensausübung, J</w:t>
      </w:r>
      <w:r w:rsidR="00EA557E">
        <w:rPr>
          <w:color w:val="434343"/>
          <w:lang w:eastAsia="ja-JP"/>
        </w:rPr>
        <w:t>uS 2017</w:t>
      </w:r>
      <w:r>
        <w:rPr>
          <w:color w:val="434343"/>
          <w:lang w:eastAsia="ja-JP"/>
        </w:rPr>
        <w:t xml:space="preserve">, S. 93 – 94 </w:t>
      </w:r>
    </w:p>
    <w:p w14:paraId="6160E29F" w14:textId="77777777" w:rsidR="00C77FC7" w:rsidRDefault="004D1283"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Vertretungsmacht des Bür</w:t>
      </w:r>
      <w:r w:rsidR="00EA557E">
        <w:rPr>
          <w:color w:val="434343"/>
          <w:lang w:eastAsia="ja-JP"/>
        </w:rPr>
        <w:t>germeisters nach außen, JuS 2017</w:t>
      </w:r>
      <w:r>
        <w:rPr>
          <w:color w:val="434343"/>
          <w:lang w:eastAsia="ja-JP"/>
        </w:rPr>
        <w:t>, S. 94 – 96</w:t>
      </w:r>
    </w:p>
    <w:p w14:paraId="1DB70702" w14:textId="094C2C2A" w:rsidR="00C77FC7" w:rsidRDefault="00C77FC7"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BVerfGE 79, 127 (Beschl.v.23.11.1988; Az. 2 BvR 1619/83) – Rastede-Entscheidung, Leitentscheidung zur verfassungsrechtlichen Garantie kommunaler Selbstverwaltung; Aufgabenverteilung zwischen Gemeinden und Kreisen, in: Armin Steinbach (Hrsg.), Verwaltungsrechtsprechung, Tübingen 2017, S. 361 – 369</w:t>
      </w:r>
    </w:p>
    <w:p w14:paraId="1F5B723E" w14:textId="77777777" w:rsidR="00C77FC7" w:rsidRDefault="00C77FC7"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BVerwGE 19, 121 (Urt.v.09.07.1964; Az. VIII C 29.63) Anfechtung der Widerspruchsentscheidung einer Kommunalaufsichtsbehörde, in: Armin Steinbach (Hrsg.), Verwaltungsrechtsprechung, Tübingen 2017, S. 370 – 374</w:t>
      </w:r>
    </w:p>
    <w:p w14:paraId="74DF0DCD" w14:textId="77777777" w:rsidR="00C77FC7" w:rsidRDefault="00C77FC7"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BVerwGE 148, 133 (Urt.v.16.10.2013; Az. 8 CN 1.12) Grundrechtseingriffe durch kommunale Satzungen; Anforderungen an Normenklarheit und Bestimmtheit der Satzung, in: Armin Steinbach (Hrsg.), Verwaltungsrechtsprechung, Tübingen 2017, S. 375 – 381</w:t>
      </w:r>
    </w:p>
    <w:p w14:paraId="2F35FF37" w14:textId="77777777" w:rsidR="00C77FC7" w:rsidRDefault="00C77FC7"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BVerwG, NVwZ 2001, 1280 (Urt.v. 07.06.2001; Az. 4 CN 1.01), in: Armin Steinbach (Hrsg.), Verwaltungsrechtsprechung, Tübingen 2017, S. 382 – 386</w:t>
      </w:r>
    </w:p>
    <w:p w14:paraId="09B24602" w14:textId="77777777" w:rsidR="00C77FC7" w:rsidRDefault="00C77FC7"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BVerwGE 40, 323 (Urt.v.08.09.1972; Az. IV C 17.71) – Krabbenkampfall, Gebot zur Planabstimmung benachbarter Gemeinden („interkommunale Abstimmung“), in: Armin Steinbach (Hrsg.), Verwaltungsrechtsprechung, Tübingen 2017, S. 387 – 391</w:t>
      </w:r>
    </w:p>
    <w:p w14:paraId="2EB1CDAD" w14:textId="77777777" w:rsidR="00C77FC7" w:rsidRDefault="00C77FC7"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BVerwG, NVwZ 1988, 837 (Beschl.v.12.02.1988; Az. 7 B 123.87) Politische Meinungsäußerung durch Aufkleber eines Ratsmitglieds im Stadtrat, in: Armin Steinbach (Hrsg.), Verwaltungsrechtsprechung, Tübingen 2017, S. 401 – 404</w:t>
      </w:r>
    </w:p>
    <w:p w14:paraId="7649B3E3" w14:textId="77777777" w:rsidR="00122222" w:rsidRDefault="00C77FC7"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BVerwG 106, 280</w:t>
      </w:r>
      <w:r w:rsidR="00054D81">
        <w:rPr>
          <w:color w:val="434343"/>
          <w:lang w:eastAsia="ja-JP"/>
        </w:rPr>
        <w:t xml:space="preserve"> (Urt.v.25.03.1998; Az. 8 C 11.97) Kommunaler Solidarbeitrag im System des kommunalen Finanzausgleichs, in: Armin Steinbach (Hrsg.), Verwaltungsrechtsprechung, Tübingen 2017, S. 419 – 422</w:t>
      </w:r>
    </w:p>
    <w:p w14:paraId="4803BF6F" w14:textId="77777777" w:rsidR="00122222" w:rsidRDefault="0012222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Staatsorganisationsrecht und Verwaltungsrecht: Landtagsfraktion als Inhaberin eines Informationsanspruchs, JuS 2017, S. 284 – 286 </w:t>
      </w:r>
    </w:p>
    <w:p w14:paraId="771B2381" w14:textId="77777777" w:rsidR="00420BB5" w:rsidRDefault="0012222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Grundrechte und Kommunalrecht: Grundrechtsbindung bei Handeln der Verwaltung in Privatrechtsform, JuS 2017, S. 286 – 288</w:t>
      </w:r>
    </w:p>
    <w:p w14:paraId="5E3EAB8A" w14:textId="77777777" w:rsidR="00892D32" w:rsidRDefault="00420BB5"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Abundanzumlagen im kommunalen Finanzausgleich, JuS 2017, S. 380 – 382</w:t>
      </w:r>
    </w:p>
    <w:p w14:paraId="7F14206D" w14:textId="77777777" w:rsidR="00E5086E" w:rsidRDefault="00892D3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Staatshaftungsrecht: Ansprüche bei Auslandseinsätzen der Bundeswehr, JuS 2017, S. 572 – 574</w:t>
      </w:r>
    </w:p>
    <w:p w14:paraId="0C000B6D" w14:textId="77777777" w:rsidR="005F54B3" w:rsidRDefault="00E5086E"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lastRenderedPageBreak/>
        <w:t>Kommunalrecht: Anschluss- und Benutzungszwang durch bundesrechtliche Regelung, JuS 2017, S. 711 – 712</w:t>
      </w:r>
    </w:p>
    <w:p w14:paraId="6ED71E87" w14:textId="62116905" w:rsidR="005F54B3" w:rsidRDefault="005F54B3"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Rech</w:t>
      </w:r>
      <w:r w:rsidR="00F466E6">
        <w:rPr>
          <w:color w:val="434343"/>
          <w:lang w:eastAsia="ja-JP"/>
        </w:rPr>
        <w:t>t</w:t>
      </w:r>
      <w:r>
        <w:rPr>
          <w:color w:val="434343"/>
          <w:lang w:eastAsia="ja-JP"/>
        </w:rPr>
        <w:t xml:space="preserve">sschein eines Verwaltungsakts, JuS 2017, S. 805 – 806 </w:t>
      </w:r>
    </w:p>
    <w:p w14:paraId="72F806AC" w14:textId="77777777" w:rsidR="00786777" w:rsidRDefault="00F466E6"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Kommunales Wi</w:t>
      </w:r>
      <w:r w:rsidR="005F54B3">
        <w:rPr>
          <w:color w:val="434343"/>
          <w:lang w:eastAsia="ja-JP"/>
        </w:rPr>
        <w:t>l</w:t>
      </w:r>
      <w:r>
        <w:rPr>
          <w:color w:val="434343"/>
          <w:lang w:eastAsia="ja-JP"/>
        </w:rPr>
        <w:t>d</w:t>
      </w:r>
      <w:r w:rsidR="005F54B3">
        <w:rPr>
          <w:color w:val="434343"/>
          <w:lang w:eastAsia="ja-JP"/>
        </w:rPr>
        <w:t>tierverbot für Zirkusbetriebe, JuS 2017, S. 806 – 808</w:t>
      </w:r>
    </w:p>
    <w:p w14:paraId="5EDF37C1" w14:textId="77777777" w:rsidR="00994D31" w:rsidRDefault="00786777"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und Informationsrecht: Kommunale Informationsfreiheitssatzungen, JuS 2017, S. 903 – 904</w:t>
      </w:r>
    </w:p>
    <w:p w14:paraId="1FEA58D5" w14:textId="77777777" w:rsidR="00DB5332" w:rsidRDefault="00994D31"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Staatshaftungsrecht: Amtshaftung wegen nicht rechtzeitig zur Verfügung gestellter Kinderbetreuungsplätze, JuS 2017, S. 1043 – 1044</w:t>
      </w:r>
    </w:p>
    <w:p w14:paraId="68A0BD38" w14:textId="77777777" w:rsidR="00EF3CCB" w:rsidRDefault="00DB533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Polizei- und Ordnungsrecht: Gefahrenabwehrverordnung und Einzelfallanordnung, JuS 2018, S. 93 – 96</w:t>
      </w:r>
    </w:p>
    <w:p w14:paraId="5925BBE7" w14:textId="77777777" w:rsidR="00004E1F" w:rsidRDefault="00EF3CCB"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Inkompatibilitätsregeln, JuS 2018, S. 311 – 312</w:t>
      </w:r>
    </w:p>
    <w:p w14:paraId="60B33290" w14:textId="77777777" w:rsidR="00741B3E" w:rsidRDefault="00004E1F"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Sachlichkeitsgebot für amtliche Äußerungen eines kommunalen Amtsträgers, JuS 2018, S. 406 – 408</w:t>
      </w:r>
    </w:p>
    <w:p w14:paraId="5705810B" w14:textId="77777777" w:rsidR="002B73E4" w:rsidRDefault="00741B3E"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Absenkung des Wahlalters bei Kommunalwahlen, JuS 2018, S. 501 – 503</w:t>
      </w:r>
    </w:p>
    <w:p w14:paraId="3EECFD1A" w14:textId="77777777" w:rsidR="00A42684" w:rsidRDefault="002B73E4"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Staatshaftungsrecht: Schmerzensgeld bei Aufopferungsanspruch, JuS 2018, S. 735 – 736</w:t>
      </w:r>
    </w:p>
    <w:p w14:paraId="36C7FCD9" w14:textId="77777777" w:rsidR="001B6B7B" w:rsidRDefault="00A42684"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und Wirtschaftsverwaltungsrecht: Auswahlverfahren durch Losentscheid, JuS 2018, S. 829 – 831</w:t>
      </w:r>
    </w:p>
    <w:p w14:paraId="795BD280" w14:textId="77777777" w:rsidR="006530FB" w:rsidRDefault="001B6B7B"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Besonderes Verwaltungsrecht: Straßen- und Wegerecht, JuS 2018, S. 926 – 928</w:t>
      </w:r>
    </w:p>
    <w:p w14:paraId="1FFA5518" w14:textId="77777777" w:rsidR="00EF1A80" w:rsidRDefault="006530FB"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Polizei- und Ordnungsrecht: Identitätsfeststellung, JuS 2019, S. 95 – 96</w:t>
      </w:r>
    </w:p>
    <w:p w14:paraId="75A50B49" w14:textId="77777777" w:rsidR="000B63F9" w:rsidRDefault="00EF1A80"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Rücknahme und Rückforderung im Erbfall, JuS 2019, S. 191 – 192</w:t>
      </w:r>
    </w:p>
    <w:p w14:paraId="683F81A2" w14:textId="77777777" w:rsidR="00BD5124" w:rsidRDefault="000B63F9"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 und Verwaltungsprozessrecht: Ausschluss von Kommunalfraktionen von der Finanzierung, JuS 2019, S. 286 – 288</w:t>
      </w:r>
    </w:p>
    <w:p w14:paraId="5099D1E4" w14:textId="77777777" w:rsidR="009573DA" w:rsidRDefault="00BD5124"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sidRPr="00FB7E5E">
        <w:rPr>
          <w:color w:val="434343"/>
          <w:lang w:eastAsia="ja-JP"/>
        </w:rPr>
        <w:t>Besonderes Verwaltungsrecht: Straßen- und Wegerecht, JuS 2019, S. 413 – 414</w:t>
      </w:r>
    </w:p>
    <w:p w14:paraId="720909B2" w14:textId="77777777" w:rsidR="0086552F" w:rsidRDefault="009573DA"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Öffentlich-rechtlicher Zulassungsanspruch bei privatrechtlich betriebener gemeindlicher Einrichtung, JuS 2019, S. 604 – 606</w:t>
      </w:r>
    </w:p>
    <w:p w14:paraId="065E11DC" w14:textId="77777777" w:rsidR="00AC67CB" w:rsidRDefault="0086552F"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Staatsferne der Presse bei gemeindlichen Publikationen, JuS 2019, S. 733 – 734</w:t>
      </w:r>
    </w:p>
    <w:p w14:paraId="5C136627" w14:textId="77777777" w:rsidR="00015AA5" w:rsidRDefault="00AC67CB"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Staatshaftungsrecht: Haftung einer Ordnungsbehörde bei qualifiziertem Unterlassen, JuS 2019, S. 829 – 831</w:t>
      </w:r>
    </w:p>
    <w:p w14:paraId="69492377" w14:textId="77777777" w:rsidR="007021C8" w:rsidRDefault="00015AA5"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Rederecht von Einzelstadträten im Gemeinderat, JuS 2019, S. 926 – 928</w:t>
      </w:r>
    </w:p>
    <w:p w14:paraId="6BF8589C" w14:textId="77777777" w:rsidR="00F82FE8" w:rsidRDefault="007021C8"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Jahresfrist bei der Aufhebung von Subventionsbescheiden, JuS 2019, S. 1135 – 1136</w:t>
      </w:r>
    </w:p>
    <w:p w14:paraId="5BAD8510" w14:textId="77777777" w:rsidR="00A43A34" w:rsidRDefault="00F82FE8"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Polizeirecht: Waffenrechtliche Unzuverlässigkeit wegen NPD-Funktionsträgerschaft, JuS 2019, S. 1230 – 1232</w:t>
      </w:r>
    </w:p>
    <w:p w14:paraId="5E94B0DC" w14:textId="77777777" w:rsidR="00083D5C" w:rsidRDefault="00A43A34"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Besonderes Verwaltungsrecht: Polizeifestigkeit des Versammlungsrechts, JuS 2020, S. 191 – 192</w:t>
      </w:r>
    </w:p>
    <w:p w14:paraId="75E875AB" w14:textId="77777777" w:rsidR="00837C7F" w:rsidRDefault="00083D5C"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Straßenrecht: Anhörung, JuS 2020, S. 287 – 288</w:t>
      </w:r>
    </w:p>
    <w:p w14:paraId="7AF282FC" w14:textId="77777777" w:rsidR="00223948" w:rsidRDefault="00837C7F"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Polizei-/Sicherheitsrecht und Allgemeines Verwaltungsrecht: Örtliche Zuständigkeit </w:t>
      </w:r>
      <w:r>
        <w:rPr>
          <w:color w:val="434343"/>
          <w:lang w:eastAsia="ja-JP"/>
        </w:rPr>
        <w:lastRenderedPageBreak/>
        <w:t>bei Obdachlosenunterbringung, JuS 2020, S. 380 – 382</w:t>
      </w:r>
    </w:p>
    <w:p w14:paraId="524A6A9C" w14:textId="77777777" w:rsidR="005F2828" w:rsidRDefault="00223948"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Verwaltungsvollstreckung privatrechtlicher Forderungen und Amtshaftung, JuS 2020, S. 710 – 712</w:t>
      </w:r>
    </w:p>
    <w:p w14:paraId="65CBDCA3" w14:textId="77777777" w:rsidR="00B21ED7" w:rsidRDefault="005F2828"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Zwangsmitgliedschaft in einer Pflegekammer nach Landesrecht, JuS 2020, S. 806 – 809</w:t>
      </w:r>
    </w:p>
    <w:p w14:paraId="1E172E8A" w14:textId="77777777" w:rsidR="00062D4C" w:rsidRDefault="00B21ED7"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Verfassungsrecht und Informationsrecht: Verhältnis der Transparenzregeln von Parteiengesetz und IFG, JuS 2021, S. 191 – 192</w:t>
      </w:r>
    </w:p>
    <w:p w14:paraId="5B46C7B0" w14:textId="77777777" w:rsidR="0084628A" w:rsidRDefault="00062D4C"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Polizeirecht: Errichtung einer bayerischen Grenzpolizei, JuS 2021, S. 286 – 288</w:t>
      </w:r>
    </w:p>
    <w:p w14:paraId="7548C0B7" w14:textId="77777777" w:rsidR="00CE7E38" w:rsidRDefault="0084628A"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Durchgriffsverbot des Art. 84 I 7 GG und kommunale Selbstverwaltung, JuS 2021, S. 476 – 478</w:t>
      </w:r>
    </w:p>
    <w:p w14:paraId="6BE5ECD2" w14:textId="77777777" w:rsidR="008644F9" w:rsidRDefault="00CE7E38"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Wirtschaftsverwaltungsrecht: Austrittsanspruch von IHK-Mitgliedern, JuS 2021, S. 575 – 576</w:t>
      </w:r>
    </w:p>
    <w:p w14:paraId="198BA2C0" w14:textId="77777777" w:rsidR="00C97191" w:rsidRDefault="008644F9"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und Infektionsschutzrecht: Maskenpflicht bei Kreistagssitzung, JuS 2021, S. 807 – 808</w:t>
      </w:r>
    </w:p>
    <w:p w14:paraId="3D3523C7" w14:textId="77777777" w:rsidR="00A8462C" w:rsidRDefault="00C97191"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Versammlungsrecht: Verhältnis Infektionsschutzgesetz zu Versammlungsgesetz, JuS 2021, S. 903 – 904</w:t>
      </w:r>
    </w:p>
    <w:p w14:paraId="0C6888ED" w14:textId="77777777" w:rsidR="00294602" w:rsidRDefault="00A8462C"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und Informationsrecht: IFG-Anspruch gegenüber privatrechtlicher Sparkassen-Stiftung, JuS 2021, S. 1095 – 1096</w:t>
      </w:r>
    </w:p>
    <w:p w14:paraId="6E2D0E1F" w14:textId="77777777" w:rsidR="00085144" w:rsidRDefault="00294602"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Rücknahmeermessen bei rechtswidrigem Verwaltungsakt, JuS 2022, S. 191 – 192</w:t>
      </w:r>
    </w:p>
    <w:p w14:paraId="7B3B6610" w14:textId="77777777" w:rsidR="0088586C" w:rsidRDefault="00085144"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Versammlungsrecht und Straßenrecht: Fahrraddemonstration auf einer Autobahn, JuS 2022, S. 287 – 288</w:t>
      </w:r>
    </w:p>
    <w:p w14:paraId="6C349197" w14:textId="77777777" w:rsidR="007B0F21" w:rsidRDefault="0088586C"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Finanzverfassungsrecht: Hessisches Corona-Sondervermögen, JuS 2022, S. 378 – 380</w:t>
      </w:r>
    </w:p>
    <w:p w14:paraId="3E915B75" w14:textId="77777777" w:rsidR="00CD7D9B" w:rsidRDefault="007B0F21"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Staatshaftungsrecht und Kommunalrecht: Haftung der Gemeinde bei Ersetzung des baurechtlichen Einvernehmens durch die Kommunalaufsicht, JuS 2022, S. 471 – 472</w:t>
      </w:r>
    </w:p>
    <w:p w14:paraId="5DC878A6" w14:textId="77777777" w:rsidR="00B201F1" w:rsidRDefault="00CD7D9B"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Staatsorganisationsrecht: Notausschuss eines Landtags als Notparlament, JuS 2022, S. 562 – 564</w:t>
      </w:r>
    </w:p>
    <w:p w14:paraId="2DA79735" w14:textId="77777777" w:rsidR="00B201F1" w:rsidRDefault="00B201F1"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Allgemeines Verwaltungsrecht: Verjährung im Verwaltungsrecht nach der Schuldrechtsreform, JuS 2022, S. 693 – 695 </w:t>
      </w:r>
    </w:p>
    <w:p w14:paraId="6E33D20F" w14:textId="77777777" w:rsidR="00B45D49" w:rsidRDefault="00B201F1"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Polizeirecht: Räumlicher Umfang eines Platzverweises, JuS 2022, S. 695 – 696</w:t>
      </w:r>
    </w:p>
    <w:p w14:paraId="7A440257" w14:textId="77777777" w:rsidR="00AF678D" w:rsidRDefault="00B45D49"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Themenbezogene Widmungsbeschränkung einer öffentlichen Einrichtung, JuS 2022, S. 895 – 896</w:t>
      </w:r>
    </w:p>
    <w:p w14:paraId="5DED8658" w14:textId="77777777" w:rsidR="00AF678D" w:rsidRDefault="00AF678D"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Grundrechte und Kommunalrecht: Überörtliche (Neben-)Ziele bei Selbstverwaltungsaufgaben, JuS 2022, S. 983 – 985 </w:t>
      </w:r>
    </w:p>
    <w:p w14:paraId="72872EE5" w14:textId="77777777" w:rsidR="00D9603C" w:rsidRDefault="00AF678D"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Verfassungsrecht: Mitwirkungsbefugnisse der Abgeordneten aus Art. 38 I 2 GG, JuS 2022, S. 987 – 990</w:t>
      </w:r>
    </w:p>
    <w:p w14:paraId="48119E3D" w14:textId="77777777" w:rsidR="00CA347B" w:rsidRDefault="00D9603C"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und Straßenverkehrsrecht: Erhöhung kommunaler Bewohnerparkgebühren wegen Klimawandels, JuS 2022, S. 1086 – 1088</w:t>
      </w:r>
    </w:p>
    <w:p w14:paraId="477503BF" w14:textId="77777777" w:rsidR="00901621" w:rsidRDefault="00CA347B"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Grundrechte und Verwaltungsrecht: Kreuzerlass in bayerischen Behörden, JuS 2022, S. 1182 – 1184</w:t>
      </w:r>
    </w:p>
    <w:p w14:paraId="1E79D894" w14:textId="5856350F" w:rsidR="005F6BBC" w:rsidRDefault="00901621"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Finanzverfassungsrecht, Steuerrecht und Kommunalrecht: Verfassungsmäßigkeit von kommunalen Übernachtungsteuern, JuS 202</w:t>
      </w:r>
      <w:r w:rsidR="00D67BC3">
        <w:rPr>
          <w:color w:val="434343"/>
          <w:lang w:eastAsia="ja-JP"/>
        </w:rPr>
        <w:t>3</w:t>
      </w:r>
      <w:r>
        <w:rPr>
          <w:color w:val="434343"/>
          <w:lang w:eastAsia="ja-JP"/>
        </w:rPr>
        <w:t>, S. 92 – 95</w:t>
      </w:r>
    </w:p>
    <w:p w14:paraId="6919739C" w14:textId="77777777" w:rsidR="005E6F96" w:rsidRDefault="005F6BBC"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Teilwiderruf eines Zuwendungsbescheids, JuS 2023, S. 189 – 191</w:t>
      </w:r>
    </w:p>
    <w:p w14:paraId="4ABB20E4" w14:textId="77777777" w:rsidR="00BD7E5E" w:rsidRDefault="005E6F96" w:rsidP="00CE4EBA">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lastRenderedPageBreak/>
        <w:t>Verfassungsrecht und Steuerrecht: Verfassungsmäßigkeit des Solidaritätszuschlags, JuS 2023, S. 383 – 384</w:t>
      </w:r>
    </w:p>
    <w:p w14:paraId="4AC7353B" w14:textId="77777777" w:rsidR="001A64F0" w:rsidRDefault="00BD7E5E" w:rsidP="00BD7E5E">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Rückforderung von Fraktionszuschüssen, JuS 2023</w:t>
      </w:r>
      <w:r w:rsidR="001A64F0">
        <w:rPr>
          <w:color w:val="434343"/>
          <w:lang w:eastAsia="ja-JP"/>
        </w:rPr>
        <w:t>, S. 610 – 612</w:t>
      </w:r>
    </w:p>
    <w:p w14:paraId="6ED1851B" w14:textId="7AD45D7A" w:rsidR="00BD7E5E" w:rsidRDefault="001A64F0" w:rsidP="00BD7E5E">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Kommunalrecht: Öffentliche Einrichtung der Kommunen und AfD-Parteitage, JuS 2023, S. 612- 614  </w:t>
      </w:r>
    </w:p>
    <w:p w14:paraId="493A8C0C" w14:textId="77777777" w:rsidR="002F61F8" w:rsidRDefault="00BD7E5E" w:rsidP="00BD7E5E">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Straßenrecht: Carsharing als Gemeingebrauch, JuS 2</w:t>
      </w:r>
      <w:r w:rsidR="00123A5A">
        <w:rPr>
          <w:color w:val="434343"/>
          <w:lang w:eastAsia="ja-JP"/>
        </w:rPr>
        <w:t>023, S. 703 – 704</w:t>
      </w:r>
    </w:p>
    <w:p w14:paraId="1FC180CD" w14:textId="77777777" w:rsidR="00A9783F" w:rsidRDefault="002F61F8" w:rsidP="00BD7E5E">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Kommunalrecht und Wirtschaftsverwaltungsrecht: Wochenmarkt als gemeindliche Einrichtung, JuS 2023, S. 799 – 800</w:t>
      </w:r>
    </w:p>
    <w:p w14:paraId="50A34FA8" w14:textId="77777777" w:rsidR="008C6E6C" w:rsidRDefault="00A9783F" w:rsidP="00BD7E5E">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und Haushaltsrecht: „Amtsausstattung“ eines ehemaligen Bundeskanzlers, JuS 2023, S. 988 – 990</w:t>
      </w:r>
    </w:p>
    <w:p w14:paraId="4A12B995" w14:textId="77777777" w:rsidR="00706AF7" w:rsidRDefault="008C6E6C" w:rsidP="00BD7E5E">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Staatshaftungsrecht: Amtspflichtverletzung bei Verstoß gegen Gewässerunterhaltungspflicht, JuS 2023, S. 1097 – 1088</w:t>
      </w:r>
    </w:p>
    <w:p w14:paraId="0519E735" w14:textId="77777777" w:rsidR="00A517E6" w:rsidRDefault="00706AF7" w:rsidP="00BD7E5E">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Steuerrecht, Kommunalrecht, Umweltrecht: Tübinger Verpackungssteuer, JuS 2023, S. 1172 – 1175</w:t>
      </w:r>
    </w:p>
    <w:p w14:paraId="30174FD4" w14:textId="77777777" w:rsidR="00C52F63" w:rsidRDefault="00A517E6" w:rsidP="00BD7E5E">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Polizei- und Ordnungsrecht: Verwaltungshandeln gegen aggressives Betteln, JuS 2024, S. 91 – 94</w:t>
      </w:r>
    </w:p>
    <w:p w14:paraId="5CC7C065" w14:textId="77777777" w:rsidR="000163F9" w:rsidRDefault="00C52F63" w:rsidP="00BD7E5E">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Finanzverfassungsrecht: Zweites Nachtragshaushaltsgesetz 2021, JuS 2024, S. 285 – 288</w:t>
      </w:r>
    </w:p>
    <w:p w14:paraId="556E2A00" w14:textId="77777777" w:rsidR="00D42AD3" w:rsidRDefault="000163F9" w:rsidP="00BD7E5E">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Verwaltungsprozessrecht und Kommunalrecht: Rechtsschutz gegen die Abwahl als Bürgermeister, JuS 2024, S. 479 – 480</w:t>
      </w:r>
    </w:p>
    <w:p w14:paraId="25B9B7B3" w14:textId="77777777" w:rsidR="009E0230" w:rsidRDefault="00D42AD3" w:rsidP="00BD7E5E">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 Staatsorganisationsrecht und Informationsrecht: IFG-Ansprüche gegen den Bundespräsidenten, JuS 2024, S. 575 – 576</w:t>
      </w:r>
    </w:p>
    <w:p w14:paraId="15F955D0" w14:textId="77777777" w:rsidR="00C222A2" w:rsidRDefault="009E0230" w:rsidP="00BD7E5E">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Allgemeines Verwaltungsrecht und Schulrecht: Durchsetzung der Schulpflicht, JuS 2024, S. 708 – 710</w:t>
      </w:r>
    </w:p>
    <w:p w14:paraId="07A16772" w14:textId="618C56F4" w:rsidR="00C222A2" w:rsidRDefault="00C222A2" w:rsidP="00BD7E5E">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Straßen- und Wegerecht: Anliegerrecht und Anliegergebrauch bei Baumaßnahmen an einer Straße, JuS 2025, S. 95 – 96</w:t>
      </w:r>
    </w:p>
    <w:p w14:paraId="1C94DC71" w14:textId="14408AE8" w:rsidR="00B95E73" w:rsidRPr="00BD7E5E" w:rsidRDefault="007E548E" w:rsidP="00BD7E5E">
      <w:pPr>
        <w:widowControl w:val="0"/>
        <w:numPr>
          <w:ilvl w:val="0"/>
          <w:numId w:val="9"/>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Verfassungsrecht und Vereinsrecht: Vereinsrechtliches Verbot eines Medienunternehmens, JuS 2025, S. 190 – 192 </w:t>
      </w:r>
      <w:r w:rsidR="009E0230">
        <w:rPr>
          <w:color w:val="434343"/>
          <w:lang w:eastAsia="ja-JP"/>
        </w:rPr>
        <w:t xml:space="preserve"> </w:t>
      </w:r>
      <w:r w:rsidR="00D42AD3">
        <w:rPr>
          <w:color w:val="434343"/>
          <w:lang w:eastAsia="ja-JP"/>
        </w:rPr>
        <w:t xml:space="preserve"> </w:t>
      </w:r>
      <w:r w:rsidR="000163F9">
        <w:rPr>
          <w:color w:val="434343"/>
          <w:lang w:eastAsia="ja-JP"/>
        </w:rPr>
        <w:t xml:space="preserve"> </w:t>
      </w:r>
      <w:r w:rsidR="00C52F63">
        <w:rPr>
          <w:color w:val="434343"/>
          <w:lang w:eastAsia="ja-JP"/>
        </w:rPr>
        <w:t xml:space="preserve"> </w:t>
      </w:r>
      <w:r w:rsidR="00A517E6">
        <w:rPr>
          <w:color w:val="434343"/>
          <w:lang w:eastAsia="ja-JP"/>
        </w:rPr>
        <w:t xml:space="preserve"> </w:t>
      </w:r>
      <w:r w:rsidR="00706AF7">
        <w:rPr>
          <w:color w:val="434343"/>
          <w:lang w:eastAsia="ja-JP"/>
        </w:rPr>
        <w:t xml:space="preserve"> </w:t>
      </w:r>
      <w:r w:rsidR="008C6E6C">
        <w:rPr>
          <w:color w:val="434343"/>
          <w:lang w:eastAsia="ja-JP"/>
        </w:rPr>
        <w:t xml:space="preserve"> </w:t>
      </w:r>
      <w:r w:rsidR="002F61F8">
        <w:rPr>
          <w:color w:val="434343"/>
          <w:lang w:eastAsia="ja-JP"/>
        </w:rPr>
        <w:t xml:space="preserve"> </w:t>
      </w:r>
      <w:r w:rsidR="00123A5A">
        <w:rPr>
          <w:color w:val="434343"/>
          <w:lang w:eastAsia="ja-JP"/>
        </w:rPr>
        <w:t xml:space="preserve"> </w:t>
      </w:r>
      <w:r w:rsidR="005E6F96" w:rsidRPr="00BD7E5E">
        <w:rPr>
          <w:color w:val="434343"/>
          <w:lang w:eastAsia="ja-JP"/>
        </w:rPr>
        <w:t xml:space="preserve"> </w:t>
      </w:r>
      <w:r w:rsidR="005F6BBC" w:rsidRPr="00BD7E5E">
        <w:rPr>
          <w:color w:val="434343"/>
          <w:lang w:eastAsia="ja-JP"/>
        </w:rPr>
        <w:t xml:space="preserve"> </w:t>
      </w:r>
      <w:r w:rsidR="00901621" w:rsidRPr="00BD7E5E">
        <w:rPr>
          <w:color w:val="434343"/>
          <w:lang w:eastAsia="ja-JP"/>
        </w:rPr>
        <w:t xml:space="preserve"> </w:t>
      </w:r>
      <w:r w:rsidR="00CA347B" w:rsidRPr="00BD7E5E">
        <w:rPr>
          <w:color w:val="434343"/>
          <w:lang w:eastAsia="ja-JP"/>
        </w:rPr>
        <w:t xml:space="preserve"> </w:t>
      </w:r>
      <w:r w:rsidR="00D9603C" w:rsidRPr="00BD7E5E">
        <w:rPr>
          <w:color w:val="434343"/>
          <w:lang w:eastAsia="ja-JP"/>
        </w:rPr>
        <w:t xml:space="preserve"> </w:t>
      </w:r>
      <w:r w:rsidR="00AF678D" w:rsidRPr="00BD7E5E">
        <w:rPr>
          <w:color w:val="434343"/>
          <w:lang w:eastAsia="ja-JP"/>
        </w:rPr>
        <w:t xml:space="preserve"> </w:t>
      </w:r>
      <w:r w:rsidR="00B45D49" w:rsidRPr="00BD7E5E">
        <w:rPr>
          <w:color w:val="434343"/>
          <w:lang w:eastAsia="ja-JP"/>
        </w:rPr>
        <w:t xml:space="preserve"> </w:t>
      </w:r>
      <w:r w:rsidR="00B201F1" w:rsidRPr="00BD7E5E">
        <w:rPr>
          <w:color w:val="434343"/>
          <w:lang w:eastAsia="ja-JP"/>
        </w:rPr>
        <w:t xml:space="preserve"> </w:t>
      </w:r>
      <w:r w:rsidR="00CD7D9B" w:rsidRPr="00BD7E5E">
        <w:rPr>
          <w:color w:val="434343"/>
          <w:lang w:eastAsia="ja-JP"/>
        </w:rPr>
        <w:t xml:space="preserve"> </w:t>
      </w:r>
      <w:r w:rsidR="007B0F21" w:rsidRPr="00BD7E5E">
        <w:rPr>
          <w:color w:val="434343"/>
          <w:lang w:eastAsia="ja-JP"/>
        </w:rPr>
        <w:t xml:space="preserve"> </w:t>
      </w:r>
      <w:r w:rsidR="0088586C" w:rsidRPr="00BD7E5E">
        <w:rPr>
          <w:color w:val="434343"/>
          <w:lang w:eastAsia="ja-JP"/>
        </w:rPr>
        <w:t xml:space="preserve"> </w:t>
      </w:r>
      <w:r w:rsidR="00085144" w:rsidRPr="00BD7E5E">
        <w:rPr>
          <w:color w:val="434343"/>
          <w:lang w:eastAsia="ja-JP"/>
        </w:rPr>
        <w:t xml:space="preserve"> </w:t>
      </w:r>
      <w:r w:rsidR="00294602" w:rsidRPr="00BD7E5E">
        <w:rPr>
          <w:color w:val="434343"/>
          <w:lang w:eastAsia="ja-JP"/>
        </w:rPr>
        <w:t xml:space="preserve"> </w:t>
      </w:r>
      <w:r w:rsidR="00A8462C" w:rsidRPr="00BD7E5E">
        <w:rPr>
          <w:color w:val="434343"/>
          <w:lang w:eastAsia="ja-JP"/>
        </w:rPr>
        <w:t xml:space="preserve"> </w:t>
      </w:r>
      <w:r w:rsidR="00C97191" w:rsidRPr="00BD7E5E">
        <w:rPr>
          <w:color w:val="434343"/>
          <w:lang w:eastAsia="ja-JP"/>
        </w:rPr>
        <w:t xml:space="preserve"> </w:t>
      </w:r>
      <w:r w:rsidR="008644F9" w:rsidRPr="00BD7E5E">
        <w:rPr>
          <w:color w:val="434343"/>
          <w:lang w:eastAsia="ja-JP"/>
        </w:rPr>
        <w:t xml:space="preserve"> </w:t>
      </w:r>
      <w:r w:rsidR="00CE7E38" w:rsidRPr="00BD7E5E">
        <w:rPr>
          <w:color w:val="434343"/>
          <w:lang w:eastAsia="ja-JP"/>
        </w:rPr>
        <w:t xml:space="preserve"> </w:t>
      </w:r>
      <w:r w:rsidR="0084628A" w:rsidRPr="00BD7E5E">
        <w:rPr>
          <w:color w:val="434343"/>
          <w:lang w:eastAsia="ja-JP"/>
        </w:rPr>
        <w:t xml:space="preserve"> </w:t>
      </w:r>
      <w:r w:rsidR="00062D4C" w:rsidRPr="00BD7E5E">
        <w:rPr>
          <w:color w:val="434343"/>
          <w:lang w:eastAsia="ja-JP"/>
        </w:rPr>
        <w:t xml:space="preserve"> </w:t>
      </w:r>
      <w:r w:rsidR="00B21ED7" w:rsidRPr="00BD7E5E">
        <w:rPr>
          <w:color w:val="434343"/>
          <w:lang w:eastAsia="ja-JP"/>
        </w:rPr>
        <w:t xml:space="preserve"> </w:t>
      </w:r>
      <w:r w:rsidR="005F2828" w:rsidRPr="00BD7E5E">
        <w:rPr>
          <w:color w:val="434343"/>
          <w:lang w:eastAsia="ja-JP"/>
        </w:rPr>
        <w:t xml:space="preserve"> </w:t>
      </w:r>
      <w:r w:rsidR="00223948" w:rsidRPr="00BD7E5E">
        <w:rPr>
          <w:color w:val="434343"/>
          <w:lang w:eastAsia="ja-JP"/>
        </w:rPr>
        <w:t xml:space="preserve"> </w:t>
      </w:r>
      <w:r w:rsidR="00837C7F" w:rsidRPr="00BD7E5E">
        <w:rPr>
          <w:color w:val="434343"/>
          <w:lang w:eastAsia="ja-JP"/>
        </w:rPr>
        <w:t xml:space="preserve"> </w:t>
      </w:r>
      <w:r w:rsidR="00083D5C" w:rsidRPr="00BD7E5E">
        <w:rPr>
          <w:color w:val="434343"/>
          <w:lang w:eastAsia="ja-JP"/>
        </w:rPr>
        <w:t xml:space="preserve"> </w:t>
      </w:r>
      <w:r w:rsidR="00A43A34" w:rsidRPr="00BD7E5E">
        <w:rPr>
          <w:color w:val="434343"/>
          <w:lang w:eastAsia="ja-JP"/>
        </w:rPr>
        <w:t xml:space="preserve"> </w:t>
      </w:r>
      <w:r w:rsidR="00F82FE8" w:rsidRPr="00BD7E5E">
        <w:rPr>
          <w:color w:val="434343"/>
          <w:lang w:eastAsia="ja-JP"/>
        </w:rPr>
        <w:t xml:space="preserve"> </w:t>
      </w:r>
      <w:r w:rsidR="007021C8" w:rsidRPr="00BD7E5E">
        <w:rPr>
          <w:color w:val="434343"/>
          <w:lang w:eastAsia="ja-JP"/>
        </w:rPr>
        <w:t xml:space="preserve"> </w:t>
      </w:r>
      <w:r w:rsidR="00015AA5" w:rsidRPr="00BD7E5E">
        <w:rPr>
          <w:color w:val="434343"/>
          <w:lang w:eastAsia="ja-JP"/>
        </w:rPr>
        <w:t xml:space="preserve"> </w:t>
      </w:r>
      <w:r w:rsidR="00AC67CB" w:rsidRPr="00BD7E5E">
        <w:rPr>
          <w:color w:val="434343"/>
          <w:lang w:eastAsia="ja-JP"/>
        </w:rPr>
        <w:t xml:space="preserve"> </w:t>
      </w:r>
      <w:r w:rsidR="0086552F" w:rsidRPr="00BD7E5E">
        <w:rPr>
          <w:color w:val="434343"/>
          <w:lang w:eastAsia="ja-JP"/>
        </w:rPr>
        <w:t xml:space="preserve"> </w:t>
      </w:r>
      <w:r w:rsidR="009573DA" w:rsidRPr="00BD7E5E">
        <w:rPr>
          <w:color w:val="434343"/>
          <w:lang w:eastAsia="ja-JP"/>
        </w:rPr>
        <w:t xml:space="preserve"> </w:t>
      </w:r>
      <w:r w:rsidR="00BD5124" w:rsidRPr="00BD7E5E">
        <w:rPr>
          <w:color w:val="434343"/>
          <w:lang w:eastAsia="ja-JP"/>
        </w:rPr>
        <w:t xml:space="preserve"> </w:t>
      </w:r>
      <w:r w:rsidR="000B63F9" w:rsidRPr="00BD7E5E">
        <w:rPr>
          <w:color w:val="434343"/>
          <w:lang w:eastAsia="ja-JP"/>
        </w:rPr>
        <w:t xml:space="preserve"> </w:t>
      </w:r>
      <w:r w:rsidR="00EF1A80" w:rsidRPr="00BD7E5E">
        <w:rPr>
          <w:color w:val="434343"/>
          <w:lang w:eastAsia="ja-JP"/>
        </w:rPr>
        <w:t xml:space="preserve"> </w:t>
      </w:r>
      <w:r w:rsidR="006530FB" w:rsidRPr="00BD7E5E">
        <w:rPr>
          <w:color w:val="434343"/>
          <w:lang w:eastAsia="ja-JP"/>
        </w:rPr>
        <w:t xml:space="preserve"> </w:t>
      </w:r>
      <w:r w:rsidR="001B6B7B" w:rsidRPr="00BD7E5E">
        <w:rPr>
          <w:color w:val="434343"/>
          <w:lang w:eastAsia="ja-JP"/>
        </w:rPr>
        <w:t xml:space="preserve"> </w:t>
      </w:r>
      <w:r w:rsidR="00A42684" w:rsidRPr="00BD7E5E">
        <w:rPr>
          <w:color w:val="434343"/>
          <w:lang w:eastAsia="ja-JP"/>
        </w:rPr>
        <w:t xml:space="preserve"> </w:t>
      </w:r>
      <w:r w:rsidR="002B73E4" w:rsidRPr="00BD7E5E">
        <w:rPr>
          <w:color w:val="434343"/>
          <w:lang w:eastAsia="ja-JP"/>
        </w:rPr>
        <w:t xml:space="preserve"> </w:t>
      </w:r>
      <w:r w:rsidR="00741B3E" w:rsidRPr="00BD7E5E">
        <w:rPr>
          <w:color w:val="434343"/>
          <w:lang w:eastAsia="ja-JP"/>
        </w:rPr>
        <w:t xml:space="preserve"> </w:t>
      </w:r>
      <w:r w:rsidR="00004E1F" w:rsidRPr="00BD7E5E">
        <w:rPr>
          <w:color w:val="434343"/>
          <w:lang w:eastAsia="ja-JP"/>
        </w:rPr>
        <w:t xml:space="preserve"> </w:t>
      </w:r>
      <w:r w:rsidR="00EF3CCB" w:rsidRPr="00BD7E5E">
        <w:rPr>
          <w:color w:val="434343"/>
          <w:lang w:eastAsia="ja-JP"/>
        </w:rPr>
        <w:t xml:space="preserve"> </w:t>
      </w:r>
      <w:r w:rsidR="00DB5332" w:rsidRPr="00BD7E5E">
        <w:rPr>
          <w:color w:val="434343"/>
          <w:lang w:eastAsia="ja-JP"/>
        </w:rPr>
        <w:t xml:space="preserve"> </w:t>
      </w:r>
      <w:r w:rsidR="00994D31" w:rsidRPr="00BD7E5E">
        <w:rPr>
          <w:color w:val="434343"/>
          <w:lang w:eastAsia="ja-JP"/>
        </w:rPr>
        <w:t xml:space="preserve"> </w:t>
      </w:r>
      <w:r w:rsidR="00786777" w:rsidRPr="00BD7E5E">
        <w:rPr>
          <w:color w:val="434343"/>
          <w:lang w:eastAsia="ja-JP"/>
        </w:rPr>
        <w:t xml:space="preserve"> </w:t>
      </w:r>
      <w:r w:rsidR="005F54B3" w:rsidRPr="00BD7E5E">
        <w:rPr>
          <w:color w:val="434343"/>
          <w:lang w:eastAsia="ja-JP"/>
        </w:rPr>
        <w:t xml:space="preserve"> </w:t>
      </w:r>
      <w:r w:rsidR="00E5086E" w:rsidRPr="00BD7E5E">
        <w:rPr>
          <w:color w:val="434343"/>
          <w:lang w:eastAsia="ja-JP"/>
        </w:rPr>
        <w:t xml:space="preserve"> </w:t>
      </w:r>
      <w:r w:rsidR="00892D32" w:rsidRPr="00BD7E5E">
        <w:rPr>
          <w:color w:val="434343"/>
          <w:lang w:eastAsia="ja-JP"/>
        </w:rPr>
        <w:t xml:space="preserve"> </w:t>
      </w:r>
      <w:r w:rsidR="00420BB5" w:rsidRPr="00BD7E5E">
        <w:rPr>
          <w:color w:val="434343"/>
          <w:lang w:eastAsia="ja-JP"/>
        </w:rPr>
        <w:t xml:space="preserve"> </w:t>
      </w:r>
      <w:r w:rsidR="00122222" w:rsidRPr="00BD7E5E">
        <w:rPr>
          <w:color w:val="434343"/>
          <w:lang w:eastAsia="ja-JP"/>
        </w:rPr>
        <w:t xml:space="preserve"> </w:t>
      </w:r>
      <w:r w:rsidR="00054D81" w:rsidRPr="00BD7E5E">
        <w:rPr>
          <w:color w:val="434343"/>
          <w:lang w:eastAsia="ja-JP"/>
        </w:rPr>
        <w:t xml:space="preserve"> </w:t>
      </w:r>
      <w:r w:rsidR="00C77FC7" w:rsidRPr="00BD7E5E">
        <w:rPr>
          <w:color w:val="434343"/>
          <w:lang w:eastAsia="ja-JP"/>
        </w:rPr>
        <w:t xml:space="preserve">     </w:t>
      </w:r>
      <w:r w:rsidR="004D1283" w:rsidRPr="00BD7E5E">
        <w:rPr>
          <w:color w:val="434343"/>
          <w:lang w:eastAsia="ja-JP"/>
        </w:rPr>
        <w:t xml:space="preserve"> </w:t>
      </w:r>
      <w:r w:rsidR="008D6648" w:rsidRPr="00BD7E5E">
        <w:rPr>
          <w:color w:val="434343"/>
          <w:lang w:eastAsia="ja-JP"/>
        </w:rPr>
        <w:t xml:space="preserve"> </w:t>
      </w:r>
      <w:r w:rsidR="001E7293" w:rsidRPr="00BD7E5E">
        <w:rPr>
          <w:color w:val="434343"/>
          <w:lang w:eastAsia="ja-JP"/>
        </w:rPr>
        <w:t xml:space="preserve"> </w:t>
      </w:r>
      <w:r w:rsidR="001407A0" w:rsidRPr="00BD7E5E">
        <w:rPr>
          <w:color w:val="434343"/>
          <w:lang w:eastAsia="ja-JP"/>
        </w:rPr>
        <w:t xml:space="preserve"> </w:t>
      </w:r>
      <w:r w:rsidR="00BB10CF" w:rsidRPr="00BD7E5E">
        <w:rPr>
          <w:color w:val="434343"/>
          <w:lang w:eastAsia="ja-JP"/>
        </w:rPr>
        <w:t xml:space="preserve"> </w:t>
      </w:r>
      <w:r w:rsidR="000E5340" w:rsidRPr="00BD7E5E">
        <w:rPr>
          <w:color w:val="434343"/>
          <w:lang w:eastAsia="ja-JP"/>
        </w:rPr>
        <w:t xml:space="preserve"> </w:t>
      </w:r>
      <w:r w:rsidR="00E80561" w:rsidRPr="00BD7E5E">
        <w:rPr>
          <w:color w:val="434343"/>
          <w:lang w:eastAsia="ja-JP"/>
        </w:rPr>
        <w:t xml:space="preserve"> </w:t>
      </w:r>
      <w:r w:rsidR="00C03635" w:rsidRPr="00BD7E5E">
        <w:rPr>
          <w:color w:val="434343"/>
          <w:lang w:eastAsia="ja-JP"/>
        </w:rPr>
        <w:t xml:space="preserve">  </w:t>
      </w:r>
      <w:r w:rsidR="00EC72EF" w:rsidRPr="00BD7E5E">
        <w:rPr>
          <w:color w:val="434343"/>
          <w:lang w:eastAsia="ja-JP"/>
        </w:rPr>
        <w:t xml:space="preserve"> </w:t>
      </w:r>
      <w:r w:rsidR="00422B7D" w:rsidRPr="00BD7E5E">
        <w:rPr>
          <w:color w:val="434343"/>
          <w:lang w:eastAsia="ja-JP"/>
        </w:rPr>
        <w:t xml:space="preserve"> </w:t>
      </w:r>
      <w:r w:rsidR="008976CB" w:rsidRPr="00BD7E5E">
        <w:rPr>
          <w:color w:val="434343"/>
          <w:lang w:eastAsia="ja-JP"/>
        </w:rPr>
        <w:t xml:space="preserve"> </w:t>
      </w:r>
      <w:r w:rsidR="00A2157E" w:rsidRPr="00BD7E5E">
        <w:rPr>
          <w:color w:val="434343"/>
          <w:lang w:eastAsia="ja-JP"/>
        </w:rPr>
        <w:t xml:space="preserve"> </w:t>
      </w:r>
      <w:r w:rsidR="00DB1ED7" w:rsidRPr="00BD7E5E">
        <w:rPr>
          <w:color w:val="434343"/>
          <w:lang w:eastAsia="ja-JP"/>
        </w:rPr>
        <w:t xml:space="preserve"> </w:t>
      </w:r>
      <w:r w:rsidR="002C0922" w:rsidRPr="00BD7E5E">
        <w:rPr>
          <w:color w:val="434343"/>
          <w:lang w:eastAsia="ja-JP"/>
        </w:rPr>
        <w:t xml:space="preserve"> </w:t>
      </w:r>
      <w:r w:rsidR="00EC6064" w:rsidRPr="00BD7E5E">
        <w:rPr>
          <w:color w:val="434343"/>
          <w:lang w:eastAsia="ja-JP"/>
        </w:rPr>
        <w:t xml:space="preserve"> </w:t>
      </w:r>
      <w:r w:rsidR="002A415A" w:rsidRPr="00BD7E5E">
        <w:rPr>
          <w:color w:val="434343"/>
          <w:lang w:eastAsia="ja-JP"/>
        </w:rPr>
        <w:t xml:space="preserve"> </w:t>
      </w:r>
      <w:r w:rsidR="00B95E73" w:rsidRPr="00BD7E5E">
        <w:rPr>
          <w:color w:val="434343"/>
          <w:lang w:eastAsia="ja-JP"/>
        </w:rPr>
        <w:t xml:space="preserve"> </w:t>
      </w:r>
    </w:p>
    <w:p w14:paraId="5723D7C0" w14:textId="77777777" w:rsidR="00C50CF1" w:rsidRDefault="00C50CF1" w:rsidP="00CE4EBA">
      <w:pPr>
        <w:widowControl w:val="0"/>
        <w:tabs>
          <w:tab w:val="left" w:pos="220"/>
          <w:tab w:val="left" w:pos="720"/>
        </w:tabs>
        <w:autoSpaceDE w:val="0"/>
        <w:autoSpaceDN w:val="0"/>
        <w:adjustRightInd w:val="0"/>
        <w:spacing w:after="80"/>
        <w:ind w:left="720"/>
        <w:rPr>
          <w:color w:val="434343"/>
          <w:lang w:eastAsia="ja-JP"/>
        </w:rPr>
      </w:pPr>
    </w:p>
    <w:p w14:paraId="0EE6B2E5" w14:textId="77777777" w:rsidR="00CA0516" w:rsidRPr="00AE5B99" w:rsidRDefault="00CA0516" w:rsidP="00CE4EBA">
      <w:pPr>
        <w:widowControl w:val="0"/>
        <w:tabs>
          <w:tab w:val="left" w:pos="220"/>
          <w:tab w:val="left" w:pos="720"/>
        </w:tabs>
        <w:autoSpaceDE w:val="0"/>
        <w:autoSpaceDN w:val="0"/>
        <w:adjustRightInd w:val="0"/>
        <w:spacing w:after="80"/>
        <w:ind w:left="720"/>
        <w:rPr>
          <w:color w:val="434343"/>
          <w:lang w:eastAsia="ja-JP"/>
        </w:rPr>
      </w:pPr>
    </w:p>
    <w:p w14:paraId="39A994CC" w14:textId="6B63D983" w:rsidR="00A43562" w:rsidRPr="000F2895" w:rsidRDefault="00703E70" w:rsidP="00CE4EBA">
      <w:pPr>
        <w:widowControl w:val="0"/>
        <w:tabs>
          <w:tab w:val="left" w:pos="220"/>
          <w:tab w:val="left" w:pos="720"/>
        </w:tabs>
        <w:autoSpaceDE w:val="0"/>
        <w:autoSpaceDN w:val="0"/>
        <w:adjustRightInd w:val="0"/>
        <w:rPr>
          <w:b/>
          <w:bCs/>
          <w:color w:val="25374D"/>
          <w:lang w:eastAsia="ja-JP"/>
        </w:rPr>
      </w:pPr>
      <w:r>
        <w:rPr>
          <w:b/>
          <w:bCs/>
          <w:color w:val="25374D"/>
          <w:lang w:eastAsia="ja-JP"/>
        </w:rPr>
        <w:t>VIII. Rezensionen</w:t>
      </w:r>
      <w:r w:rsidR="00A43562" w:rsidRPr="000F2895">
        <w:rPr>
          <w:b/>
          <w:bCs/>
          <w:color w:val="25374D"/>
          <w:lang w:eastAsia="ja-JP"/>
        </w:rPr>
        <w:t xml:space="preserve"> </w:t>
      </w:r>
    </w:p>
    <w:p w14:paraId="1518BECA" w14:textId="77777777" w:rsidR="00C50CF1" w:rsidRPr="000F2895" w:rsidRDefault="00C50CF1" w:rsidP="00CE4EBA">
      <w:pPr>
        <w:widowControl w:val="0"/>
        <w:tabs>
          <w:tab w:val="left" w:pos="220"/>
          <w:tab w:val="left" w:pos="720"/>
        </w:tabs>
        <w:autoSpaceDE w:val="0"/>
        <w:autoSpaceDN w:val="0"/>
        <w:adjustRightInd w:val="0"/>
        <w:rPr>
          <w:color w:val="434343"/>
          <w:lang w:eastAsia="ja-JP"/>
        </w:rPr>
      </w:pPr>
    </w:p>
    <w:p w14:paraId="39BE198C"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Klaus Oechsle, Die steuerlichen Grundrechte in der jüngeren deutschen Verfassungsgeschichte, JZ 1995, S. 241 - 242</w:t>
      </w:r>
    </w:p>
    <w:p w14:paraId="4CE6D59E"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Andreas Schwennicke: „Ohne Steuer kein Staat", StuW 1997, S. 274 - 278</w:t>
      </w:r>
    </w:p>
    <w:p w14:paraId="4E9DEC5C"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Hans-Peter Schneider (Hrsg.), Das Grundgesetz. Dokumentation seiner Entstehung, Bd. 25: Art. 105-107 GG, IUS COMMUNE. Zeitschrift für Europäische Rechtsgeschichte 25 (1998), S. 627 - 630</w:t>
      </w:r>
    </w:p>
    <w:p w14:paraId="1B8156B9"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Irene Kesper, Bundesstaatliche Finanzordnung, DVBl. 1999, S. 483 - 484</w:t>
      </w:r>
    </w:p>
    <w:p w14:paraId="4BE8ADC1"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Christoph Engel/Martin Morlok, Öffentliches Recht als Gegenstand ökonomischer Forschung, Der Staat 38 (1999), S. 625 - 630</w:t>
      </w:r>
    </w:p>
    <w:p w14:paraId="385EA7F2"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Rezension von: Matthias Rossi, Europäisches Parlament und </w:t>
      </w:r>
      <w:r w:rsidRPr="00AE5B99">
        <w:rPr>
          <w:color w:val="434343"/>
          <w:lang w:eastAsia="ja-JP"/>
        </w:rPr>
        <w:lastRenderedPageBreak/>
        <w:t>Haushaltsverfassungsrecht, EuR 1999, S. 126 - 128</w:t>
      </w:r>
    </w:p>
    <w:p w14:paraId="225DB8CC"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Alexander Jörg, Finanzverfassung und Föderalismus in Deutschland und in der Schweiz, ZG 2000, S. 188 - 191</w:t>
      </w:r>
    </w:p>
    <w:p w14:paraId="00872156"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Monika Jachmann, Steuergesetzgebung zwischen Gleichheit und wirtschaftlicher Freiheit, StuW 2000, S. 217 - 220</w:t>
      </w:r>
    </w:p>
    <w:p w14:paraId="5B168EB2"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Hans Dieter Jarass, Nichtsteuerliche Abgaben und lenkende Steuern unter dem Grundgesetz, AöR 126 (2001), S. 649 - 651</w:t>
      </w:r>
    </w:p>
    <w:p w14:paraId="0B6D342F"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Thorsten Kassner, Der Steuerreformer Johannes von Miquel. Leben und Werk. Zum 100. Todestag des preußischen Finanzministers. Ein Beitrag zur Entwicklung des Steuerrechts, StuW 2004, S. 190 - 191</w:t>
      </w:r>
    </w:p>
    <w:p w14:paraId="7777B521"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Heinrich Weber-Grellet: Steuern im modernen Verfassungsstaat, DVBl. 2004, S. 1284 - 1285</w:t>
      </w:r>
    </w:p>
    <w:p w14:paraId="466CACD2"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Rezension von: Axel Cordewener, Europäische Grundfreiheiten und nationales Steuerrecht. „Konvergenz" des Gemeinschaftsrechts und „Kohärenz" der direkten Steuern in der Rechtsprechung </w:t>
      </w:r>
      <w:proofErr w:type="gramStart"/>
      <w:r w:rsidRPr="00AE5B99">
        <w:rPr>
          <w:color w:val="434343"/>
          <w:lang w:eastAsia="ja-JP"/>
        </w:rPr>
        <w:t>des EuGH</w:t>
      </w:r>
      <w:proofErr w:type="gramEnd"/>
      <w:r w:rsidRPr="00AE5B99">
        <w:rPr>
          <w:color w:val="434343"/>
          <w:lang w:eastAsia="ja-JP"/>
        </w:rPr>
        <w:t>, EuR 39 (2004), S. 651 - 653</w:t>
      </w:r>
    </w:p>
    <w:p w14:paraId="522EDB9D"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Sonja Strube, Die Geschichte des Haushaltsrechts vom Mittelalter bis zur Gegenwart. Eine ökonomische Anlayse im Lichte der Budgetfunktionen, Der Staat 43 (2004), S. 637 - 638</w:t>
      </w:r>
    </w:p>
    <w:p w14:paraId="6AAC0261"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Marc Grohmann: Exotische Verfassung. Die Kompetenzen des Reichstags für die deutschen Kolonien in Gesetzgebung und Staatsrechtswissenschaft des Kaiserreichs, ZNR 27 (2005), S. 133 - 135</w:t>
      </w:r>
    </w:p>
    <w:p w14:paraId="63E4361A"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Rezension von: Arndt Schmehl: Das Äquivalenzprinzip im Recht der Staatsfinanzierung, </w:t>
      </w:r>
      <w:proofErr w:type="gramStart"/>
      <w:r w:rsidRPr="00AE5B99">
        <w:rPr>
          <w:color w:val="434343"/>
          <w:lang w:eastAsia="ja-JP"/>
        </w:rPr>
        <w:t>AöR  130</w:t>
      </w:r>
      <w:proofErr w:type="gramEnd"/>
      <w:r w:rsidRPr="00AE5B99">
        <w:rPr>
          <w:color w:val="434343"/>
          <w:lang w:eastAsia="ja-JP"/>
        </w:rPr>
        <w:t xml:space="preserve"> (2005), S. 659 - 662</w:t>
      </w:r>
    </w:p>
    <w:p w14:paraId="44FC6EBE"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Rainer Wernsmann, Lenkungssteuern in einem rationalen Steuersystem, Die Verwaltung 40 (2007), S. 595 - 599</w:t>
      </w:r>
    </w:p>
    <w:p w14:paraId="23314D0F"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Christian Starck (Hrsg.), von Mangoldt/Klein/Starck, Kommentar zum Grundgesetz, Bd. 3, 5. Aufl. sowie: Christian Starck (Hrsg.), Föderalismusreform, AöR 132 (2007), S. 621 - 624</w:t>
      </w:r>
    </w:p>
    <w:p w14:paraId="356610B7"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Sebastian Wolfgang Idel, Der Familienbegriff grund- und einfachrechtlicher Normen, De processibus matrimonialibus 14 (2007), S. 508 - 510</w:t>
      </w:r>
    </w:p>
    <w:p w14:paraId="279C1546"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Jörg Schmidt, Die demokratische Legitimationsfunktion der parlamentarischen Kontrolle sowie von Christian Teuber, Parlamentarische Informationsrechte, Der Staat 47 (2008), S. 311 - 314</w:t>
      </w:r>
    </w:p>
    <w:p w14:paraId="29E8DB46"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Andreas Schwegel, Der Polizeibegriff im NS-Staat. Polizeirecht, juristische Publizistik und Judikative 1931 - 1944, ZNR 30 (2008), S. 326 - 328</w:t>
      </w:r>
    </w:p>
    <w:p w14:paraId="6530D2C9"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Bruno Schmidt-Bleibtreu/Hans Hofmann/Axel Hopfauf, GG. Kommentar zum Grundgesetz, 11. Aufl., DÖV 2008, S. 830</w:t>
      </w:r>
    </w:p>
    <w:p w14:paraId="1D13585E"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Jürgen Krafczyk, Der parlamentarische Finanzvorbehalt bei der Volksgesetzgebung. Perspektiven für eine nähere Bestimmung der Zulässigkeit direktdemokratischer Entscheidungen mit Auswirkungen auf den Haushalt de lege lata und de lege ferenda, Der Staat 47 (2008), S. 644 - 646</w:t>
      </w:r>
    </w:p>
    <w:p w14:paraId="0A31BE7B"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Alexander Hollerbach, Ausgewählte Schriften, in: Der Staat 48 (2009), S. 137 - 141</w:t>
      </w:r>
    </w:p>
    <w:p w14:paraId="31652E3B"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Lars Hummel, Verfassungsrechtsfragen der Verwendung staatlicher Einnahmen, AöR 134 (2009), S. 289 - 291</w:t>
      </w:r>
    </w:p>
    <w:p w14:paraId="11AB5418"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 xml:space="preserve">Rezension von: Christian von Stockhausen, Gesetzliche Preisintervention zur </w:t>
      </w:r>
      <w:r w:rsidRPr="00AE5B99">
        <w:rPr>
          <w:color w:val="434343"/>
          <w:lang w:eastAsia="ja-JP"/>
        </w:rPr>
        <w:lastRenderedPageBreak/>
        <w:t>Finanzierung öffentlicher Aufgaben, AöR 134 (2009), S. 306 - 308</w:t>
      </w:r>
    </w:p>
    <w:p w14:paraId="74C5DB35" w14:textId="25A38B6B"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Stephan Schauhoff/Axel Cordewener/Carsten Schlotter, Besteuerung ausländischer Künstler und S</w:t>
      </w:r>
      <w:r w:rsidR="00703E70">
        <w:rPr>
          <w:color w:val="434343"/>
          <w:lang w:eastAsia="ja-JP"/>
        </w:rPr>
        <w:t xml:space="preserve">portler in der EU, </w:t>
      </w:r>
      <w:r w:rsidRPr="00AE5B99">
        <w:rPr>
          <w:color w:val="434343"/>
          <w:lang w:eastAsia="ja-JP"/>
        </w:rPr>
        <w:t>DStR 2008</w:t>
      </w:r>
    </w:p>
    <w:p w14:paraId="65776CD3"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Ronald Faber/Franz-Stefan Meissel, Nationalsozialistisches Steuerrecht und Restitution, ZNR 31 (2009), S. 331 - 332</w:t>
      </w:r>
    </w:p>
    <w:p w14:paraId="3196BC23"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w:t>
      </w:r>
      <w:r w:rsidRPr="00AE5B99">
        <w:rPr>
          <w:i/>
          <w:iCs/>
          <w:color w:val="434343"/>
          <w:lang w:eastAsia="ja-JP"/>
        </w:rPr>
        <w:t>zusammen mit Klaus Ferdinand Gärditz</w:t>
      </w:r>
      <w:r w:rsidRPr="00AE5B99">
        <w:rPr>
          <w:color w:val="434343"/>
          <w:lang w:eastAsia="ja-JP"/>
        </w:rPr>
        <w:t>) Rezension von: von Mangoldt/Klein/Starck, Kommentar zum Grundgesetz, 6. Aufl., NVwZ 2012, S. 349 – 350</w:t>
      </w:r>
    </w:p>
    <w:p w14:paraId="7EBC4A40"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Michael Sachs, Grundgesetz. Kommentar, 6. Aufl. 2011, NJW 2012, S. 2865 – 2866</w:t>
      </w:r>
    </w:p>
    <w:p w14:paraId="18797AA7" w14:textId="2A6644CF"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Simon Kempny, Die Staatsfinanzierung nach der Paulskirchenverfas</w:t>
      </w:r>
      <w:r w:rsidR="00032594">
        <w:rPr>
          <w:color w:val="434343"/>
          <w:lang w:eastAsia="ja-JP"/>
        </w:rPr>
        <w:t xml:space="preserve">sung, </w:t>
      </w:r>
      <w:r w:rsidRPr="00AE5B99">
        <w:rPr>
          <w:color w:val="434343"/>
          <w:lang w:eastAsia="ja-JP"/>
        </w:rPr>
        <w:t>ZNR 2013</w:t>
      </w:r>
      <w:r w:rsidR="00032594">
        <w:rPr>
          <w:color w:val="434343"/>
          <w:lang w:eastAsia="ja-JP"/>
        </w:rPr>
        <w:t>, S. 148 – 149</w:t>
      </w:r>
    </w:p>
    <w:p w14:paraId="076326D2" w14:textId="77777777" w:rsidR="00A43562" w:rsidRPr="00AE5B99"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Sebastian Walter, Die Lkw-Maut in Deutschland, Die Verwaltung 46 (2013), S. 457 - 459</w:t>
      </w:r>
    </w:p>
    <w:p w14:paraId="01D50B14" w14:textId="1BA7C268" w:rsidR="00A43562" w:rsidRDefault="00A4356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AE5B99">
        <w:rPr>
          <w:color w:val="434343"/>
          <w:lang w:eastAsia="ja-JP"/>
        </w:rPr>
        <w:t>Rezension von: Ansgar Weißer, Die „innere“ Landesgründung Nord</w:t>
      </w:r>
      <w:r w:rsidR="00032594">
        <w:rPr>
          <w:color w:val="434343"/>
          <w:lang w:eastAsia="ja-JP"/>
        </w:rPr>
        <w:t xml:space="preserve">rhein-Westfalens, </w:t>
      </w:r>
      <w:r w:rsidRPr="00AE5B99">
        <w:rPr>
          <w:color w:val="434343"/>
          <w:lang w:eastAsia="ja-JP"/>
        </w:rPr>
        <w:t xml:space="preserve">Der Staat </w:t>
      </w:r>
      <w:r w:rsidR="00032594">
        <w:rPr>
          <w:color w:val="434343"/>
          <w:lang w:eastAsia="ja-JP"/>
        </w:rPr>
        <w:t>52 (</w:t>
      </w:r>
      <w:r w:rsidRPr="00AE5B99">
        <w:rPr>
          <w:color w:val="434343"/>
          <w:lang w:eastAsia="ja-JP"/>
        </w:rPr>
        <w:t>2013</w:t>
      </w:r>
      <w:r w:rsidR="00032594">
        <w:rPr>
          <w:color w:val="434343"/>
          <w:lang w:eastAsia="ja-JP"/>
        </w:rPr>
        <w:t xml:space="preserve">), S. 686 – 688 </w:t>
      </w:r>
    </w:p>
    <w:p w14:paraId="06296197" w14:textId="3D6BBBE2" w:rsidR="000F2895" w:rsidRDefault="004F7F0E"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Pr>
          <w:color w:val="434343"/>
          <w:lang w:eastAsia="ja-JP"/>
        </w:rPr>
        <w:t>R</w:t>
      </w:r>
      <w:r w:rsidR="005309D9">
        <w:rPr>
          <w:color w:val="434343"/>
          <w:lang w:eastAsia="ja-JP"/>
        </w:rPr>
        <w:t>ezension von: Werner Daum (Hrsg.), Handbuch der europäischen Verfassungsgeschichte im 19. Jahrhundert, Bd. 2, DÖV 2014, S. 241 – 242</w:t>
      </w:r>
    </w:p>
    <w:p w14:paraId="2FB80A0B" w14:textId="77777777" w:rsidR="00703E70" w:rsidRDefault="000F2895"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Pr>
          <w:color w:val="434343"/>
          <w:lang w:eastAsia="ja-JP"/>
        </w:rPr>
        <w:t>Rezension von: Christoph Herrmann, Währungshoheit, Währungsverfassung und sub</w:t>
      </w:r>
      <w:r w:rsidR="00C82709">
        <w:rPr>
          <w:color w:val="434343"/>
          <w:lang w:eastAsia="ja-JP"/>
        </w:rPr>
        <w:t xml:space="preserve">jektive Rechte, </w:t>
      </w:r>
      <w:r>
        <w:rPr>
          <w:color w:val="434343"/>
          <w:lang w:eastAsia="ja-JP"/>
        </w:rPr>
        <w:t>AöR</w:t>
      </w:r>
      <w:r w:rsidR="005309D9">
        <w:rPr>
          <w:color w:val="434343"/>
          <w:lang w:eastAsia="ja-JP"/>
        </w:rPr>
        <w:t xml:space="preserve"> </w:t>
      </w:r>
      <w:r w:rsidR="00C82709">
        <w:rPr>
          <w:color w:val="434343"/>
          <w:lang w:eastAsia="ja-JP"/>
        </w:rPr>
        <w:t>140 (</w:t>
      </w:r>
      <w:r w:rsidR="00A82A04">
        <w:rPr>
          <w:color w:val="434343"/>
          <w:lang w:eastAsia="ja-JP"/>
        </w:rPr>
        <w:t>2015</w:t>
      </w:r>
      <w:r w:rsidR="00C82709">
        <w:rPr>
          <w:color w:val="434343"/>
          <w:lang w:eastAsia="ja-JP"/>
        </w:rPr>
        <w:t>), S. 155 – 157</w:t>
      </w:r>
    </w:p>
    <w:p w14:paraId="7BF3C6C7" w14:textId="3F046424" w:rsidR="00DC65C5" w:rsidRPr="00DC65C5" w:rsidRDefault="00DC65C5"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t xml:space="preserve">Rezension von: </w:t>
      </w:r>
      <w:r w:rsidR="00703E70">
        <w:t>Junkernheinrich/Korioth/Lenk/Scheller/Woisin (Hrsg.), Verhandlungen zum Finanzausgleich, in: ZG 31 (2016), S. 389 – 392</w:t>
      </w:r>
    </w:p>
    <w:p w14:paraId="3825C16A" w14:textId="2D9DCB00" w:rsidR="00F243DF" w:rsidRDefault="00851A0E"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Pr>
          <w:color w:val="434343"/>
          <w:lang w:eastAsia="ja-JP"/>
        </w:rPr>
        <w:t>Rezension von: Philip Matuschka, Das Nonaffektationsprinzip. Der Haushaltsgrundsatz der Gesamtdeckung in Bund und Ländern, insbesondere rechtshistorische Entwicklung und Verfassungsrang, 2019, ZG 34 (2019), S. 398 – 400</w:t>
      </w:r>
    </w:p>
    <w:p w14:paraId="50D35BB0" w14:textId="5B1A82C1" w:rsidR="007F4C26" w:rsidRPr="007F4C26" w:rsidRDefault="007F4C26" w:rsidP="007F4C26">
      <w:pPr>
        <w:widowControl w:val="0"/>
        <w:numPr>
          <w:ilvl w:val="0"/>
          <w:numId w:val="11"/>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Rezension von: Michael Droege, Die Besteuerung der öffentlichen Hand, Die Verwaltung 52 (2019), S. 612 – 615 </w:t>
      </w:r>
    </w:p>
    <w:p w14:paraId="390873CB" w14:textId="6F337D08" w:rsidR="00851A0E" w:rsidRPr="00C94498" w:rsidRDefault="00F243DF" w:rsidP="00F243DF">
      <w:pPr>
        <w:widowControl w:val="0"/>
        <w:numPr>
          <w:ilvl w:val="0"/>
          <w:numId w:val="11"/>
        </w:numPr>
        <w:tabs>
          <w:tab w:val="left" w:pos="220"/>
          <w:tab w:val="left" w:pos="720"/>
        </w:tabs>
        <w:autoSpaceDE w:val="0"/>
        <w:autoSpaceDN w:val="0"/>
        <w:adjustRightInd w:val="0"/>
        <w:spacing w:after="80"/>
        <w:ind w:hanging="720"/>
        <w:rPr>
          <w:color w:val="434343"/>
          <w:lang w:val="en-US" w:eastAsia="ja-JP"/>
        </w:rPr>
      </w:pPr>
      <w:r w:rsidRPr="00C94498">
        <w:rPr>
          <w:lang w:val="en-US"/>
        </w:rPr>
        <w:t>Rezension von: Stephan Jaggi, The 1989 Revolution in East Germany</w:t>
      </w:r>
      <w:r w:rsidR="00C94498" w:rsidRPr="00C94498">
        <w:rPr>
          <w:lang w:val="en-US"/>
        </w:rPr>
        <w:t xml:space="preserve"> and i</w:t>
      </w:r>
      <w:r w:rsidR="00C94498">
        <w:rPr>
          <w:lang w:val="en-US"/>
        </w:rPr>
        <w:t>ts Impact on Unified Germany’s Constitutional Law</w:t>
      </w:r>
      <w:r w:rsidRPr="00C94498">
        <w:rPr>
          <w:lang w:val="en-US"/>
        </w:rPr>
        <w:t>,</w:t>
      </w:r>
      <w:r w:rsidR="00C94498">
        <w:rPr>
          <w:lang w:val="en-US"/>
        </w:rPr>
        <w:t xml:space="preserve"> </w:t>
      </w:r>
      <w:r w:rsidRPr="00C94498">
        <w:rPr>
          <w:lang w:val="en-US"/>
        </w:rPr>
        <w:t>ZRG</w:t>
      </w:r>
      <w:r w:rsidR="00C94498">
        <w:rPr>
          <w:lang w:val="en-US"/>
        </w:rPr>
        <w:t xml:space="preserve"> (Germ.)</w:t>
      </w:r>
      <w:r w:rsidRPr="00C94498">
        <w:rPr>
          <w:lang w:val="en-US"/>
        </w:rPr>
        <w:t xml:space="preserve"> 20</w:t>
      </w:r>
      <w:r w:rsidR="00C94498">
        <w:rPr>
          <w:lang w:val="en-US"/>
        </w:rPr>
        <w:t xml:space="preserve">19, S. 519 – 522 </w:t>
      </w:r>
      <w:r w:rsidR="00851A0E" w:rsidRPr="00C94498">
        <w:rPr>
          <w:color w:val="434343"/>
          <w:lang w:val="en-US" w:eastAsia="ja-JP"/>
        </w:rPr>
        <w:t xml:space="preserve"> </w:t>
      </w:r>
    </w:p>
    <w:p w14:paraId="1160EC97" w14:textId="2A53A4E8" w:rsidR="00FE0F52" w:rsidRDefault="00FE0F5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sidRPr="00CD7D9B">
        <w:rPr>
          <w:color w:val="434343"/>
          <w:lang w:eastAsia="ja-JP"/>
        </w:rPr>
        <w:t>Rezension von: Oliver Lepsius/Robert Cjhr. van Ooyen/Hendrik Wassermann (Hrsg.), Verfassung und Rechtspolitik: 70 Jahre Grundgesetz, ZParl.</w:t>
      </w:r>
      <w:r w:rsidR="001A78CE" w:rsidRPr="00CD7D9B">
        <w:rPr>
          <w:color w:val="434343"/>
          <w:lang w:eastAsia="ja-JP"/>
        </w:rPr>
        <w:t xml:space="preserve"> </w:t>
      </w:r>
      <w:r w:rsidR="001A78CE">
        <w:rPr>
          <w:color w:val="434343"/>
          <w:lang w:eastAsia="ja-JP"/>
        </w:rPr>
        <w:t xml:space="preserve">51 (2020), S. 929 – 931 </w:t>
      </w:r>
    </w:p>
    <w:p w14:paraId="2F766D77" w14:textId="77777777" w:rsidR="00B45D49" w:rsidRDefault="0090135C"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Rezension von: Martin P. </w:t>
      </w:r>
      <w:proofErr w:type="gramStart"/>
      <w:r>
        <w:rPr>
          <w:color w:val="434343"/>
          <w:lang w:eastAsia="ja-JP"/>
        </w:rPr>
        <w:t>Schennach,  Austria</w:t>
      </w:r>
      <w:proofErr w:type="gramEnd"/>
      <w:r>
        <w:rPr>
          <w:color w:val="434343"/>
          <w:lang w:eastAsia="ja-JP"/>
        </w:rPr>
        <w:t xml:space="preserve"> inventa? Zu den Anfängen der österreichischen Staatsrechtslehre, 2020</w:t>
      </w:r>
      <w:r w:rsidR="00E8741F">
        <w:rPr>
          <w:color w:val="434343"/>
          <w:lang w:eastAsia="ja-JP"/>
        </w:rPr>
        <w:t xml:space="preserve">, </w:t>
      </w:r>
      <w:r>
        <w:rPr>
          <w:color w:val="434343"/>
          <w:lang w:eastAsia="ja-JP"/>
        </w:rPr>
        <w:t xml:space="preserve">ZÖR </w:t>
      </w:r>
      <w:r w:rsidR="00E8741F">
        <w:rPr>
          <w:color w:val="434343"/>
          <w:lang w:eastAsia="ja-JP"/>
        </w:rPr>
        <w:t>76 (</w:t>
      </w:r>
      <w:r>
        <w:rPr>
          <w:color w:val="434343"/>
          <w:lang w:eastAsia="ja-JP"/>
        </w:rPr>
        <w:t>2021</w:t>
      </w:r>
      <w:r w:rsidR="00E8741F">
        <w:rPr>
          <w:color w:val="434343"/>
          <w:lang w:eastAsia="ja-JP"/>
        </w:rPr>
        <w:t>), S. 1139 – 1142</w:t>
      </w:r>
    </w:p>
    <w:p w14:paraId="29FD8C88" w14:textId="30A39E76" w:rsidR="00E90755" w:rsidRDefault="00B45D49"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Pr>
          <w:color w:val="434343"/>
          <w:lang w:eastAsia="ja-JP"/>
        </w:rPr>
        <w:t>Rezension von: Fabian Michl, Wiltraut Rupp-von Brünneck</w:t>
      </w:r>
      <w:r w:rsidR="00780D03">
        <w:rPr>
          <w:color w:val="434343"/>
          <w:lang w:eastAsia="ja-JP"/>
        </w:rPr>
        <w:t>,</w:t>
      </w:r>
      <w:r w:rsidR="00A443FC">
        <w:rPr>
          <w:color w:val="434343"/>
          <w:lang w:eastAsia="ja-JP"/>
        </w:rPr>
        <w:t xml:space="preserve"> 2022,</w:t>
      </w:r>
      <w:r w:rsidR="00780D03">
        <w:rPr>
          <w:color w:val="434343"/>
          <w:lang w:eastAsia="ja-JP"/>
        </w:rPr>
        <w:t xml:space="preserve"> AöR</w:t>
      </w:r>
      <w:r w:rsidR="00A443FC">
        <w:rPr>
          <w:color w:val="434343"/>
          <w:lang w:eastAsia="ja-JP"/>
        </w:rPr>
        <w:t xml:space="preserve"> 147 (2022), S. 184 – 189</w:t>
      </w:r>
    </w:p>
    <w:p w14:paraId="0C064097" w14:textId="472D11C4" w:rsidR="005F12FD" w:rsidRDefault="00FD7C02" w:rsidP="00FD7C02">
      <w:pPr>
        <w:widowControl w:val="0"/>
        <w:numPr>
          <w:ilvl w:val="0"/>
          <w:numId w:val="11"/>
        </w:numPr>
        <w:tabs>
          <w:tab w:val="left" w:pos="220"/>
          <w:tab w:val="left" w:pos="720"/>
        </w:tabs>
        <w:autoSpaceDE w:val="0"/>
        <w:autoSpaceDN w:val="0"/>
        <w:adjustRightInd w:val="0"/>
        <w:spacing w:after="80"/>
        <w:ind w:hanging="720"/>
        <w:rPr>
          <w:color w:val="434343"/>
          <w:lang w:eastAsia="ja-JP"/>
        </w:rPr>
      </w:pPr>
      <w:r>
        <w:rPr>
          <w:color w:val="434343"/>
          <w:lang w:eastAsia="ja-JP"/>
        </w:rPr>
        <w:t>Rezension von: Paul Hüther, Wissenschaft und Praxis im Verwaltungsrecht (1949-2020)</w:t>
      </w:r>
      <w:r w:rsidR="005F59BB">
        <w:rPr>
          <w:color w:val="434343"/>
          <w:lang w:eastAsia="ja-JP"/>
        </w:rPr>
        <w:t>, 2024</w:t>
      </w:r>
      <w:r>
        <w:rPr>
          <w:color w:val="434343"/>
          <w:lang w:eastAsia="ja-JP"/>
        </w:rPr>
        <w:t>, DÖV 2024, S. 529 – 530</w:t>
      </w:r>
    </w:p>
    <w:p w14:paraId="57BAD535" w14:textId="4D30A2D3" w:rsidR="00FD7C02" w:rsidRPr="005F12FD" w:rsidRDefault="005F12FD" w:rsidP="005F12FD">
      <w:pPr>
        <w:widowControl w:val="0"/>
        <w:numPr>
          <w:ilvl w:val="0"/>
          <w:numId w:val="11"/>
        </w:numPr>
        <w:tabs>
          <w:tab w:val="left" w:pos="220"/>
          <w:tab w:val="left" w:pos="720"/>
        </w:tabs>
        <w:autoSpaceDE w:val="0"/>
        <w:autoSpaceDN w:val="0"/>
        <w:adjustRightInd w:val="0"/>
        <w:spacing w:after="80"/>
        <w:ind w:hanging="720"/>
        <w:rPr>
          <w:color w:val="434343"/>
          <w:lang w:eastAsia="ja-JP"/>
        </w:rPr>
      </w:pPr>
      <w:r>
        <w:rPr>
          <w:color w:val="434343"/>
          <w:lang w:eastAsia="ja-JP"/>
        </w:rPr>
        <w:t>Rezension von: Michael Droege/Christine Osterloh-Konrad/Christian Seiler (Hrsg.), Methoden steuerrechtlicher Entscheidungsfindung,</w:t>
      </w:r>
      <w:r w:rsidR="005F59BB">
        <w:rPr>
          <w:color w:val="434343"/>
          <w:lang w:eastAsia="ja-JP"/>
        </w:rPr>
        <w:t xml:space="preserve"> 2023,</w:t>
      </w:r>
      <w:r>
        <w:rPr>
          <w:color w:val="434343"/>
          <w:lang w:eastAsia="ja-JP"/>
        </w:rPr>
        <w:t xml:space="preserve"> DVBl. 2024, S. 700 – 701 </w:t>
      </w:r>
    </w:p>
    <w:p w14:paraId="1FE921F4" w14:textId="27EF66A8" w:rsidR="00E90755" w:rsidRDefault="00E90755"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Pr>
          <w:color w:val="434343"/>
          <w:lang w:eastAsia="ja-JP"/>
        </w:rPr>
        <w:t>Rezension von: Stefan Korioth, Verfassungsgeschichte,</w:t>
      </w:r>
      <w:r w:rsidR="005F59BB">
        <w:rPr>
          <w:color w:val="434343"/>
          <w:lang w:eastAsia="ja-JP"/>
        </w:rPr>
        <w:t xml:space="preserve"> 2023,</w:t>
      </w:r>
      <w:r>
        <w:rPr>
          <w:color w:val="434343"/>
          <w:lang w:eastAsia="ja-JP"/>
        </w:rPr>
        <w:t xml:space="preserve"> DVBl. 2024</w:t>
      </w:r>
      <w:r w:rsidR="00F42833">
        <w:rPr>
          <w:color w:val="434343"/>
          <w:lang w:eastAsia="ja-JP"/>
        </w:rPr>
        <w:t xml:space="preserve">, S. 765 – 766 </w:t>
      </w:r>
    </w:p>
    <w:p w14:paraId="0BBBBDBA" w14:textId="77777777" w:rsidR="000B0722" w:rsidRDefault="00E90755"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Rezension von: Tilman Schemmer, EuGH und Religionsfreiheit, </w:t>
      </w:r>
      <w:r w:rsidR="005F59BB">
        <w:rPr>
          <w:color w:val="434343"/>
          <w:lang w:eastAsia="ja-JP"/>
        </w:rPr>
        <w:t xml:space="preserve">2023, </w:t>
      </w:r>
      <w:r>
        <w:rPr>
          <w:color w:val="434343"/>
          <w:lang w:eastAsia="ja-JP"/>
        </w:rPr>
        <w:t>DVBl. 2024</w:t>
      </w:r>
      <w:r w:rsidR="005F59BB">
        <w:rPr>
          <w:color w:val="434343"/>
          <w:lang w:eastAsia="ja-JP"/>
        </w:rPr>
        <w:t>, S. 833 – 834</w:t>
      </w:r>
    </w:p>
    <w:p w14:paraId="05A10AE4" w14:textId="29866D45" w:rsidR="00E90755" w:rsidRDefault="000B0722"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Pr>
          <w:color w:val="434343"/>
          <w:lang w:eastAsia="ja-JP"/>
        </w:rPr>
        <w:t>Rezension von: Clara Nettesheim, Der gemeindliche Finanzausstattungsanspruch als Maßstab für den kommunalen Finanzausgleich, erscheint 202</w:t>
      </w:r>
      <w:r w:rsidR="00CC69D0">
        <w:rPr>
          <w:color w:val="434343"/>
          <w:lang w:eastAsia="ja-JP"/>
        </w:rPr>
        <w:t>5</w:t>
      </w:r>
      <w:r>
        <w:rPr>
          <w:color w:val="434343"/>
          <w:lang w:eastAsia="ja-JP"/>
        </w:rPr>
        <w:t xml:space="preserve"> in „Die Verwaltung“</w:t>
      </w:r>
    </w:p>
    <w:p w14:paraId="4558273E" w14:textId="5D73FC1E" w:rsidR="00CC69D0" w:rsidRDefault="00CC69D0"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Pr>
          <w:color w:val="434343"/>
          <w:lang w:eastAsia="ja-JP"/>
        </w:rPr>
        <w:t>Rezension von: Ute Frevert, Verfassungsgefühle, AöR</w:t>
      </w:r>
      <w:r w:rsidR="005D1C84">
        <w:rPr>
          <w:color w:val="434343"/>
          <w:lang w:eastAsia="ja-JP"/>
        </w:rPr>
        <w:t xml:space="preserve"> 150 (2025), S. 120 – 123 </w:t>
      </w:r>
    </w:p>
    <w:p w14:paraId="459C003C" w14:textId="6F40505A" w:rsidR="001C53D1" w:rsidRDefault="001C53D1"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Pr>
          <w:color w:val="434343"/>
          <w:lang w:eastAsia="ja-JP"/>
        </w:rPr>
        <w:lastRenderedPageBreak/>
        <w:t>Rezension von: Philipp Orphal, Die demokratische Revisibilität von Fiskalregeln, erscheint in DÖV 2025</w:t>
      </w:r>
    </w:p>
    <w:p w14:paraId="11576C88" w14:textId="7A1ECF25" w:rsidR="002C4C46" w:rsidRPr="00C57EE1" w:rsidRDefault="002C4C46"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Pr>
          <w:color w:val="434343"/>
          <w:lang w:eastAsia="ja-JP"/>
        </w:rPr>
        <w:t xml:space="preserve">Rezension von: </w:t>
      </w:r>
      <w:r w:rsidRPr="002C4C46">
        <w:t>Thomas Würtenberger, Symbole der Freiheit. Zu den Wurzeln westlicher politischer Kultur</w:t>
      </w:r>
      <w:r>
        <w:t>, erscheint 2025 in ZfP</w:t>
      </w:r>
    </w:p>
    <w:p w14:paraId="0AFDBC1A" w14:textId="6BCD85AF" w:rsidR="00C57EE1" w:rsidRDefault="00C57EE1"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Pr>
          <w:color w:val="434343"/>
          <w:lang w:eastAsia="ja-JP"/>
        </w:rPr>
        <w:t>Rezension von: Steffen Augsberg (Hrsg.), Verfassungspatriotismus. Konzept, Kritik, künftige Relevanz, erscheint 2025 in DÖV</w:t>
      </w:r>
    </w:p>
    <w:p w14:paraId="468E8C46" w14:textId="38AE1230" w:rsidR="00146FFA" w:rsidRDefault="00146FFA" w:rsidP="00CE4EBA">
      <w:pPr>
        <w:widowControl w:val="0"/>
        <w:numPr>
          <w:ilvl w:val="0"/>
          <w:numId w:val="11"/>
        </w:numPr>
        <w:tabs>
          <w:tab w:val="left" w:pos="220"/>
          <w:tab w:val="left" w:pos="720"/>
        </w:tabs>
        <w:autoSpaceDE w:val="0"/>
        <w:autoSpaceDN w:val="0"/>
        <w:adjustRightInd w:val="0"/>
        <w:spacing w:after="80"/>
        <w:ind w:hanging="720"/>
        <w:rPr>
          <w:color w:val="434343"/>
          <w:lang w:eastAsia="ja-JP"/>
        </w:rPr>
      </w:pPr>
      <w:r>
        <w:rPr>
          <w:color w:val="434343"/>
          <w:lang w:eastAsia="ja-JP"/>
        </w:rPr>
        <w:t>Rezension von: Otto Kallscheuer, Papst und Zeit, erscheint 2025 in ZfP</w:t>
      </w:r>
    </w:p>
    <w:p w14:paraId="4A4DE45D" w14:textId="77777777" w:rsidR="00703E70" w:rsidRDefault="00703E70" w:rsidP="00CE4EBA">
      <w:pPr>
        <w:widowControl w:val="0"/>
        <w:tabs>
          <w:tab w:val="left" w:pos="220"/>
          <w:tab w:val="left" w:pos="720"/>
        </w:tabs>
        <w:autoSpaceDE w:val="0"/>
        <w:autoSpaceDN w:val="0"/>
        <w:adjustRightInd w:val="0"/>
        <w:spacing w:after="80"/>
        <w:rPr>
          <w:color w:val="434343"/>
          <w:lang w:eastAsia="ja-JP"/>
        </w:rPr>
      </w:pPr>
    </w:p>
    <w:p w14:paraId="6946165D" w14:textId="40A5D91E" w:rsidR="00703E70" w:rsidRDefault="00703E70" w:rsidP="00CE4EBA">
      <w:pPr>
        <w:widowControl w:val="0"/>
        <w:tabs>
          <w:tab w:val="left" w:pos="220"/>
          <w:tab w:val="left" w:pos="720"/>
        </w:tabs>
        <w:autoSpaceDE w:val="0"/>
        <w:autoSpaceDN w:val="0"/>
        <w:adjustRightInd w:val="0"/>
        <w:spacing w:after="80"/>
        <w:rPr>
          <w:color w:val="434343"/>
          <w:lang w:eastAsia="ja-JP"/>
        </w:rPr>
      </w:pPr>
      <w:r w:rsidRPr="00703E70">
        <w:rPr>
          <w:b/>
          <w:color w:val="434343"/>
          <w:lang w:eastAsia="ja-JP"/>
        </w:rPr>
        <w:t>IX.</w:t>
      </w:r>
      <w:r>
        <w:rPr>
          <w:color w:val="434343"/>
          <w:lang w:eastAsia="ja-JP"/>
        </w:rPr>
        <w:t xml:space="preserve"> </w:t>
      </w:r>
      <w:r w:rsidRPr="000F2895">
        <w:rPr>
          <w:b/>
          <w:bCs/>
          <w:color w:val="25374D"/>
          <w:lang w:eastAsia="ja-JP"/>
        </w:rPr>
        <w:t>Sonstiges</w:t>
      </w:r>
      <w:r w:rsidR="005E10B1">
        <w:rPr>
          <w:b/>
          <w:bCs/>
          <w:color w:val="25374D"/>
          <w:lang w:eastAsia="ja-JP"/>
        </w:rPr>
        <w:t xml:space="preserve"> (Tagungsberichte; Nachrufe; Interviews; Journalistisches)</w:t>
      </w:r>
    </w:p>
    <w:p w14:paraId="2E68104D" w14:textId="77777777" w:rsidR="00703E70" w:rsidRPr="00AE5B99" w:rsidRDefault="00703E70" w:rsidP="00CE4EBA">
      <w:pPr>
        <w:widowControl w:val="0"/>
        <w:tabs>
          <w:tab w:val="left" w:pos="220"/>
          <w:tab w:val="left" w:pos="720"/>
        </w:tabs>
        <w:autoSpaceDE w:val="0"/>
        <w:autoSpaceDN w:val="0"/>
        <w:adjustRightInd w:val="0"/>
        <w:spacing w:after="80"/>
        <w:rPr>
          <w:color w:val="434343"/>
          <w:lang w:eastAsia="ja-JP"/>
        </w:rPr>
      </w:pPr>
    </w:p>
    <w:p w14:paraId="18C9AE80" w14:textId="620A8050" w:rsidR="00A443FC" w:rsidRDefault="00703E70" w:rsidP="00CE4EBA">
      <w:pPr>
        <w:widowControl w:val="0"/>
        <w:tabs>
          <w:tab w:val="left" w:pos="220"/>
          <w:tab w:val="left" w:pos="720"/>
        </w:tabs>
        <w:autoSpaceDE w:val="0"/>
        <w:autoSpaceDN w:val="0"/>
        <w:adjustRightInd w:val="0"/>
        <w:spacing w:after="80"/>
        <w:rPr>
          <w:color w:val="434343"/>
          <w:lang w:eastAsia="ja-JP"/>
        </w:rPr>
      </w:pPr>
      <w:r>
        <w:rPr>
          <w:color w:val="434343"/>
          <w:lang w:eastAsia="ja-JP"/>
        </w:rPr>
        <w:t xml:space="preserve">1. </w:t>
      </w:r>
      <w:r w:rsidR="00A43562" w:rsidRPr="00AE5B99">
        <w:rPr>
          <w:color w:val="434343"/>
          <w:lang w:eastAsia="ja-JP"/>
        </w:rPr>
        <w:t>(</w:t>
      </w:r>
      <w:r w:rsidR="00A43562" w:rsidRPr="00AE5B99">
        <w:rPr>
          <w:i/>
          <w:iCs/>
          <w:color w:val="434343"/>
          <w:lang w:eastAsia="ja-JP"/>
        </w:rPr>
        <w:t>zusammen mit Frank Stockmann</w:t>
      </w:r>
      <w:r w:rsidR="00A43562" w:rsidRPr="00AE5B99">
        <w:rPr>
          <w:color w:val="434343"/>
          <w:lang w:eastAsia="ja-JP"/>
        </w:rPr>
        <w:t>) Symposion zu Ehren von Prof. Dr. Klaus Vogel am 8. Dezember 1995 in München, in: Steuer un</w:t>
      </w:r>
      <w:r w:rsidR="000A6625">
        <w:rPr>
          <w:color w:val="434343"/>
          <w:lang w:eastAsia="ja-JP"/>
        </w:rPr>
        <w:t xml:space="preserve">d Wirtschaft 1996, S. 70 </w:t>
      </w:r>
      <w:r w:rsidR="00A443FC">
        <w:rPr>
          <w:color w:val="434343"/>
          <w:lang w:eastAsia="ja-JP"/>
        </w:rPr>
        <w:t>–</w:t>
      </w:r>
      <w:r w:rsidR="000A6625">
        <w:rPr>
          <w:color w:val="434343"/>
          <w:lang w:eastAsia="ja-JP"/>
        </w:rPr>
        <w:t xml:space="preserve"> 73</w:t>
      </w:r>
    </w:p>
    <w:p w14:paraId="3137E883" w14:textId="6B362F83" w:rsidR="00A43562" w:rsidRPr="00AE5B99" w:rsidRDefault="00703E70" w:rsidP="00CE4EBA">
      <w:pPr>
        <w:widowControl w:val="0"/>
        <w:tabs>
          <w:tab w:val="left" w:pos="220"/>
          <w:tab w:val="left" w:pos="720"/>
        </w:tabs>
        <w:autoSpaceDE w:val="0"/>
        <w:autoSpaceDN w:val="0"/>
        <w:adjustRightInd w:val="0"/>
        <w:spacing w:after="80"/>
        <w:rPr>
          <w:color w:val="434343"/>
          <w:lang w:eastAsia="ja-JP"/>
        </w:rPr>
      </w:pPr>
      <w:r>
        <w:rPr>
          <w:color w:val="434343"/>
          <w:lang w:eastAsia="ja-JP"/>
        </w:rPr>
        <w:t xml:space="preserve">2. </w:t>
      </w:r>
      <w:r w:rsidR="00A43562" w:rsidRPr="00AE5B99">
        <w:rPr>
          <w:color w:val="434343"/>
          <w:lang w:eastAsia="ja-JP"/>
        </w:rPr>
        <w:t>(</w:t>
      </w:r>
      <w:r w:rsidR="00A43562" w:rsidRPr="00AE5B99">
        <w:rPr>
          <w:i/>
          <w:iCs/>
          <w:color w:val="434343"/>
          <w:lang w:eastAsia="ja-JP"/>
        </w:rPr>
        <w:t>zusammen mit Frank Stockmann</w:t>
      </w:r>
      <w:r w:rsidR="00A43562" w:rsidRPr="00AE5B99">
        <w:rPr>
          <w:color w:val="434343"/>
          <w:lang w:eastAsia="ja-JP"/>
        </w:rPr>
        <w:t>) Symposion zu Ehren von Klaus Vogel am 8. Dezember 1995 in München. Tagungsbericht, in: JZ 1996, S. 410</w:t>
      </w:r>
    </w:p>
    <w:p w14:paraId="48DFB245" w14:textId="17B698B0" w:rsidR="00A43562" w:rsidRDefault="00703E70" w:rsidP="00CE4EBA">
      <w:pPr>
        <w:widowControl w:val="0"/>
        <w:tabs>
          <w:tab w:val="left" w:pos="220"/>
          <w:tab w:val="left" w:pos="720"/>
        </w:tabs>
        <w:autoSpaceDE w:val="0"/>
        <w:autoSpaceDN w:val="0"/>
        <w:adjustRightInd w:val="0"/>
        <w:spacing w:after="80"/>
        <w:rPr>
          <w:color w:val="434343"/>
          <w:lang w:eastAsia="ja-JP"/>
        </w:rPr>
      </w:pPr>
      <w:r>
        <w:rPr>
          <w:color w:val="434343"/>
          <w:lang w:eastAsia="ja-JP"/>
        </w:rPr>
        <w:t xml:space="preserve">3. </w:t>
      </w:r>
      <w:r w:rsidR="00A43562" w:rsidRPr="00AE5B99">
        <w:rPr>
          <w:color w:val="434343"/>
          <w:lang w:eastAsia="ja-JP"/>
        </w:rPr>
        <w:t xml:space="preserve">Tagung der Vereinigung der Deutschen Staatsrechtslehrer vom 1. </w:t>
      </w:r>
      <w:r w:rsidR="000A6625">
        <w:rPr>
          <w:color w:val="434343"/>
          <w:lang w:eastAsia="ja-JP"/>
        </w:rPr>
        <w:t>–</w:t>
      </w:r>
      <w:r w:rsidR="00A43562" w:rsidRPr="00AE5B99">
        <w:rPr>
          <w:color w:val="434343"/>
          <w:lang w:eastAsia="ja-JP"/>
        </w:rPr>
        <w:t xml:space="preserve"> 4. Oktober 2003 in Hamburg, JZ 2004, S. 132 </w:t>
      </w:r>
      <w:r w:rsidR="000A6625">
        <w:rPr>
          <w:color w:val="434343"/>
          <w:lang w:eastAsia="ja-JP"/>
        </w:rPr>
        <w:t>–</w:t>
      </w:r>
      <w:r w:rsidR="00A43562" w:rsidRPr="00AE5B99">
        <w:rPr>
          <w:color w:val="434343"/>
          <w:lang w:eastAsia="ja-JP"/>
        </w:rPr>
        <w:t xml:space="preserve"> 137</w:t>
      </w:r>
    </w:p>
    <w:p w14:paraId="2DC10DBB" w14:textId="77777777" w:rsidR="00F032B0" w:rsidRPr="00AE5B99" w:rsidRDefault="00F032B0" w:rsidP="00F032B0">
      <w:pPr>
        <w:widowControl w:val="0"/>
        <w:tabs>
          <w:tab w:val="left" w:pos="220"/>
          <w:tab w:val="left" w:pos="720"/>
        </w:tabs>
        <w:autoSpaceDE w:val="0"/>
        <w:autoSpaceDN w:val="0"/>
        <w:adjustRightInd w:val="0"/>
        <w:spacing w:after="80"/>
        <w:rPr>
          <w:color w:val="434343"/>
          <w:lang w:eastAsia="ja-JP"/>
        </w:rPr>
      </w:pPr>
      <w:r>
        <w:rPr>
          <w:color w:val="434343"/>
          <w:lang w:eastAsia="ja-JP"/>
        </w:rPr>
        <w:t xml:space="preserve">4. </w:t>
      </w:r>
      <w:r w:rsidRPr="00AE5B99">
        <w:rPr>
          <w:color w:val="434343"/>
          <w:lang w:eastAsia="ja-JP"/>
        </w:rPr>
        <w:t>Zwecke und Steuern. Die Voraussetzungslosigkeit der Steuer ist ein wichtiger Bestandteil der parlamentarischen Demokratie, Frankfurter Allgemeine Zeitung Nr. 172 vom 27. Juli 2004, S. 10</w:t>
      </w:r>
    </w:p>
    <w:p w14:paraId="48C6E240" w14:textId="24239186" w:rsidR="00A43562" w:rsidRDefault="00487EF0" w:rsidP="00CE4EBA">
      <w:pPr>
        <w:widowControl w:val="0"/>
        <w:tabs>
          <w:tab w:val="left" w:pos="220"/>
          <w:tab w:val="left" w:pos="720"/>
        </w:tabs>
        <w:autoSpaceDE w:val="0"/>
        <w:autoSpaceDN w:val="0"/>
        <w:adjustRightInd w:val="0"/>
        <w:spacing w:after="80"/>
        <w:rPr>
          <w:color w:val="434343"/>
          <w:lang w:eastAsia="ja-JP"/>
        </w:rPr>
      </w:pPr>
      <w:r>
        <w:rPr>
          <w:color w:val="434343"/>
          <w:lang w:eastAsia="ja-JP"/>
        </w:rPr>
        <w:t>5</w:t>
      </w:r>
      <w:r w:rsidR="00703E70">
        <w:rPr>
          <w:color w:val="434343"/>
          <w:lang w:eastAsia="ja-JP"/>
        </w:rPr>
        <w:t xml:space="preserve">. </w:t>
      </w:r>
      <w:r w:rsidR="00A43562" w:rsidRPr="00AE5B99">
        <w:rPr>
          <w:color w:val="434343"/>
          <w:lang w:eastAsia="ja-JP"/>
        </w:rPr>
        <w:t xml:space="preserve">Klaus Vogel †, JZ 2008, S. 246 </w:t>
      </w:r>
      <w:r w:rsidR="000A6625">
        <w:rPr>
          <w:color w:val="434343"/>
          <w:lang w:eastAsia="ja-JP"/>
        </w:rPr>
        <w:t>–</w:t>
      </w:r>
      <w:r w:rsidR="00A43562" w:rsidRPr="00AE5B99">
        <w:rPr>
          <w:color w:val="434343"/>
          <w:lang w:eastAsia="ja-JP"/>
        </w:rPr>
        <w:t xml:space="preserve"> 247</w:t>
      </w:r>
    </w:p>
    <w:p w14:paraId="3367D247" w14:textId="2776D0BE" w:rsidR="00EE6B42" w:rsidRPr="00AE5B99" w:rsidRDefault="00487EF0" w:rsidP="00EE6B42">
      <w:pPr>
        <w:widowControl w:val="0"/>
        <w:tabs>
          <w:tab w:val="left" w:pos="220"/>
          <w:tab w:val="left" w:pos="720"/>
        </w:tabs>
        <w:autoSpaceDE w:val="0"/>
        <w:autoSpaceDN w:val="0"/>
        <w:adjustRightInd w:val="0"/>
        <w:spacing w:after="80"/>
        <w:rPr>
          <w:color w:val="434343"/>
          <w:lang w:eastAsia="ja-JP"/>
        </w:rPr>
      </w:pPr>
      <w:r>
        <w:rPr>
          <w:color w:val="434343"/>
          <w:lang w:eastAsia="ja-JP"/>
        </w:rPr>
        <w:t>6</w:t>
      </w:r>
      <w:r w:rsidR="00EE6B42">
        <w:rPr>
          <w:color w:val="434343"/>
          <w:lang w:eastAsia="ja-JP"/>
        </w:rPr>
        <w:t xml:space="preserve">. </w:t>
      </w:r>
      <w:r w:rsidR="00EE6B42" w:rsidRPr="00AE5B99">
        <w:rPr>
          <w:color w:val="434343"/>
          <w:lang w:eastAsia="ja-JP"/>
        </w:rPr>
        <w:t xml:space="preserve">Was erwartet das Grundgesetz von den Kirchen? Zur Rolle der Religion in der Gesellschaft unter den Bedingungen der weltanschaulich-religiösen Neutralität des Staates, in: Hans-Gert Pöttering (Hrsg.), Damit </w:t>
      </w:r>
      <w:proofErr w:type="gramStart"/>
      <w:r w:rsidR="00EE6B42" w:rsidRPr="00AE5B99">
        <w:rPr>
          <w:color w:val="434343"/>
          <w:lang w:eastAsia="ja-JP"/>
        </w:rPr>
        <w:t>ihr Hoffnung</w:t>
      </w:r>
      <w:proofErr w:type="gramEnd"/>
      <w:r w:rsidR="00EE6B42" w:rsidRPr="00AE5B99">
        <w:rPr>
          <w:color w:val="434343"/>
          <w:lang w:eastAsia="ja-JP"/>
        </w:rPr>
        <w:t xml:space="preserve"> hab </w:t>
      </w:r>
      <w:r w:rsidR="00EE6B42">
        <w:rPr>
          <w:color w:val="434343"/>
          <w:lang w:eastAsia="ja-JP"/>
        </w:rPr>
        <w:t>–</w:t>
      </w:r>
      <w:r w:rsidR="00EE6B42" w:rsidRPr="00AE5B99">
        <w:rPr>
          <w:color w:val="434343"/>
          <w:lang w:eastAsia="ja-JP"/>
        </w:rPr>
        <w:t xml:space="preserve"> Politik im Zeichen des ‚C', Sankt Augustin/Berlin 2010, S. 61 - 67</w:t>
      </w:r>
    </w:p>
    <w:p w14:paraId="2A2370A5" w14:textId="7F5B6846" w:rsidR="00EE6B42" w:rsidRPr="00AE5B99" w:rsidRDefault="00487EF0" w:rsidP="00EE6B42">
      <w:pPr>
        <w:widowControl w:val="0"/>
        <w:tabs>
          <w:tab w:val="left" w:pos="220"/>
          <w:tab w:val="left" w:pos="720"/>
        </w:tabs>
        <w:autoSpaceDE w:val="0"/>
        <w:autoSpaceDN w:val="0"/>
        <w:adjustRightInd w:val="0"/>
        <w:spacing w:after="80"/>
        <w:rPr>
          <w:color w:val="434343"/>
          <w:lang w:eastAsia="ja-JP"/>
        </w:rPr>
      </w:pPr>
      <w:r>
        <w:rPr>
          <w:color w:val="434343"/>
          <w:lang w:eastAsia="ja-JP"/>
        </w:rPr>
        <w:t>7</w:t>
      </w:r>
      <w:r w:rsidR="00EE6B42">
        <w:rPr>
          <w:color w:val="434343"/>
          <w:lang w:eastAsia="ja-JP"/>
        </w:rPr>
        <w:t xml:space="preserve">. </w:t>
      </w:r>
      <w:r w:rsidR="00EE6B42" w:rsidRPr="00AE5B99">
        <w:rPr>
          <w:color w:val="434343"/>
          <w:lang w:eastAsia="ja-JP"/>
        </w:rPr>
        <w:t>(</w:t>
      </w:r>
      <w:r w:rsidR="00EE6B42" w:rsidRPr="00AE5B99">
        <w:rPr>
          <w:i/>
          <w:iCs/>
          <w:color w:val="434343"/>
          <w:lang w:eastAsia="ja-JP"/>
        </w:rPr>
        <w:t>zusammen mit Holger Grefrath</w:t>
      </w:r>
      <w:r w:rsidR="00EE6B42" w:rsidRPr="00AE5B99">
        <w:rPr>
          <w:color w:val="434343"/>
          <w:lang w:eastAsia="ja-JP"/>
        </w:rPr>
        <w:t>) Das missverstandene Amt, in: Frankfurter Allgemeine Zeitung Nr. 7 vom 9. Januar 2012, S. 7</w:t>
      </w:r>
    </w:p>
    <w:p w14:paraId="1F7A8657" w14:textId="6F771FBC" w:rsidR="00EE6B42" w:rsidRPr="00AE5B99" w:rsidRDefault="00487EF0" w:rsidP="00EE6B42">
      <w:pPr>
        <w:widowControl w:val="0"/>
        <w:tabs>
          <w:tab w:val="left" w:pos="220"/>
          <w:tab w:val="left" w:pos="720"/>
        </w:tabs>
        <w:autoSpaceDE w:val="0"/>
        <w:autoSpaceDN w:val="0"/>
        <w:adjustRightInd w:val="0"/>
        <w:spacing w:after="80"/>
        <w:rPr>
          <w:color w:val="434343"/>
          <w:lang w:eastAsia="ja-JP"/>
        </w:rPr>
      </w:pPr>
      <w:r>
        <w:rPr>
          <w:color w:val="434343"/>
          <w:lang w:eastAsia="ja-JP"/>
        </w:rPr>
        <w:t xml:space="preserve">8. </w:t>
      </w:r>
      <w:r w:rsidR="00EE6B42" w:rsidRPr="00AE5B99">
        <w:rPr>
          <w:color w:val="434343"/>
          <w:lang w:eastAsia="ja-JP"/>
        </w:rPr>
        <w:t xml:space="preserve">Der Streik in der Daseinsvorsorge erfordert eine gesetzliche Regelung, in: Carl Friedrich von Weizsäcker-Stiftung - Bereich Zukunft der Arbeit (Hrsg.), Forum: Die Zukunft der Arbeit </w:t>
      </w:r>
      <w:proofErr w:type="gramStart"/>
      <w:r w:rsidR="00EE6B42" w:rsidRPr="00AE5B99">
        <w:rPr>
          <w:color w:val="434343"/>
          <w:lang w:eastAsia="ja-JP"/>
        </w:rPr>
        <w:t>gestalten</w:t>
      </w:r>
      <w:proofErr w:type="gramEnd"/>
      <w:r w:rsidR="00EE6B42" w:rsidRPr="00AE5B99">
        <w:rPr>
          <w:color w:val="434343"/>
          <w:lang w:eastAsia="ja-JP"/>
        </w:rPr>
        <w:t xml:space="preserve">, Ausgabe 2/2012. Arbeitskampf in der Daseinsvorsorge 2012, S. 14 </w:t>
      </w:r>
      <w:r w:rsidR="00EE6B42">
        <w:rPr>
          <w:color w:val="434343"/>
          <w:lang w:eastAsia="ja-JP"/>
        </w:rPr>
        <w:t>–</w:t>
      </w:r>
      <w:r w:rsidR="00EE6B42" w:rsidRPr="00AE5B99">
        <w:rPr>
          <w:color w:val="434343"/>
          <w:lang w:eastAsia="ja-JP"/>
        </w:rPr>
        <w:t xml:space="preserve"> 15 (online unter </w:t>
      </w:r>
      <w:hyperlink r:id="rId14" w:history="1">
        <w:r w:rsidR="00EE6B42" w:rsidRPr="00AE5B99">
          <w:rPr>
            <w:color w:val="2549B2"/>
            <w:lang w:eastAsia="ja-JP"/>
          </w:rPr>
          <w:t>www.zukunftderarbeit.eu</w:t>
        </w:r>
      </w:hyperlink>
      <w:r w:rsidR="00EE6B42" w:rsidRPr="00AE5B99">
        <w:rPr>
          <w:color w:val="434343"/>
          <w:lang w:eastAsia="ja-JP"/>
        </w:rPr>
        <w:t xml:space="preserve"> oder unter </w:t>
      </w:r>
      <w:hyperlink r:id="rId15" w:history="1">
        <w:r w:rsidR="00EE6B42" w:rsidRPr="00AE5B99">
          <w:rPr>
            <w:color w:val="2549B2"/>
            <w:lang w:eastAsia="ja-JP"/>
          </w:rPr>
          <w:t>www.CFvW.org</w:t>
        </w:r>
      </w:hyperlink>
      <w:r w:rsidR="00EE6B42" w:rsidRPr="00AE5B99">
        <w:rPr>
          <w:color w:val="434343"/>
          <w:lang w:eastAsia="ja-JP"/>
        </w:rPr>
        <w:t xml:space="preserve"> im Bereich „Zukunft der Arbeit")</w:t>
      </w:r>
    </w:p>
    <w:p w14:paraId="55F8E46E" w14:textId="2ADF6C14" w:rsidR="00EE6B42" w:rsidRPr="00AE5B99" w:rsidRDefault="00487EF0" w:rsidP="00EE6B42">
      <w:pPr>
        <w:widowControl w:val="0"/>
        <w:tabs>
          <w:tab w:val="left" w:pos="220"/>
          <w:tab w:val="left" w:pos="720"/>
        </w:tabs>
        <w:autoSpaceDE w:val="0"/>
        <w:autoSpaceDN w:val="0"/>
        <w:adjustRightInd w:val="0"/>
        <w:spacing w:after="80"/>
        <w:rPr>
          <w:color w:val="434343"/>
          <w:lang w:eastAsia="ja-JP"/>
        </w:rPr>
      </w:pPr>
      <w:r>
        <w:rPr>
          <w:color w:val="434343"/>
          <w:lang w:eastAsia="ja-JP"/>
        </w:rPr>
        <w:t>9</w:t>
      </w:r>
      <w:r w:rsidR="00EE6B42">
        <w:rPr>
          <w:color w:val="434343"/>
          <w:lang w:eastAsia="ja-JP"/>
        </w:rPr>
        <w:t>. Wie hältst du’</w:t>
      </w:r>
      <w:r w:rsidR="00EE6B42" w:rsidRPr="00AE5B99">
        <w:rPr>
          <w:color w:val="434343"/>
          <w:lang w:eastAsia="ja-JP"/>
        </w:rPr>
        <w:t>s mit der Religion? Staat zwischen Neutralität und Laizität, Einsichten und Perspektiven. Bayerische Zeitschrift für Politik und Geschichte</w:t>
      </w:r>
      <w:proofErr w:type="gramStart"/>
      <w:r w:rsidR="00EE6B42" w:rsidRPr="00AE5B99">
        <w:rPr>
          <w:color w:val="434343"/>
          <w:lang w:eastAsia="ja-JP"/>
        </w:rPr>
        <w:t>, ,</w:t>
      </w:r>
      <w:proofErr w:type="gramEnd"/>
      <w:r w:rsidR="00EE6B42" w:rsidRPr="00AE5B99">
        <w:rPr>
          <w:color w:val="434343"/>
          <w:lang w:eastAsia="ja-JP"/>
        </w:rPr>
        <w:t xml:space="preserve"> Heft 1/2012, S. 46 - 55 </w:t>
      </w:r>
    </w:p>
    <w:p w14:paraId="3A8084EF" w14:textId="768F9F8D" w:rsidR="00EE6B42" w:rsidRDefault="00487EF0" w:rsidP="00EE6B42">
      <w:pPr>
        <w:widowControl w:val="0"/>
        <w:tabs>
          <w:tab w:val="left" w:pos="220"/>
          <w:tab w:val="left" w:pos="720"/>
        </w:tabs>
        <w:autoSpaceDE w:val="0"/>
        <w:autoSpaceDN w:val="0"/>
        <w:adjustRightInd w:val="0"/>
        <w:spacing w:after="80"/>
        <w:rPr>
          <w:color w:val="434343"/>
          <w:lang w:eastAsia="ja-JP"/>
        </w:rPr>
      </w:pPr>
      <w:r>
        <w:rPr>
          <w:color w:val="434343"/>
          <w:lang w:eastAsia="ja-JP"/>
        </w:rPr>
        <w:t>10</w:t>
      </w:r>
      <w:r w:rsidR="00EE6B42">
        <w:rPr>
          <w:color w:val="434343"/>
          <w:lang w:eastAsia="ja-JP"/>
        </w:rPr>
        <w:t xml:space="preserve">. </w:t>
      </w:r>
      <w:r w:rsidR="00EE6B42" w:rsidRPr="00AE5B99">
        <w:rPr>
          <w:color w:val="434343"/>
          <w:lang w:eastAsia="ja-JP"/>
        </w:rPr>
        <w:t>Über die homöopathische Behandlung von Pferden, in: Begegnungen mit Martin Cramer, Heidelberg 2012, S. 341 – 345</w:t>
      </w:r>
    </w:p>
    <w:p w14:paraId="5AE648C0" w14:textId="1B74C1C6" w:rsidR="00C827B0" w:rsidRPr="00AE5B99" w:rsidRDefault="00487EF0" w:rsidP="00C827B0">
      <w:pPr>
        <w:widowControl w:val="0"/>
        <w:tabs>
          <w:tab w:val="left" w:pos="220"/>
          <w:tab w:val="left" w:pos="720"/>
        </w:tabs>
        <w:autoSpaceDE w:val="0"/>
        <w:autoSpaceDN w:val="0"/>
        <w:adjustRightInd w:val="0"/>
        <w:spacing w:after="80"/>
        <w:rPr>
          <w:color w:val="434343"/>
          <w:lang w:eastAsia="ja-JP"/>
        </w:rPr>
      </w:pPr>
      <w:r>
        <w:rPr>
          <w:color w:val="434343"/>
          <w:lang w:eastAsia="ja-JP"/>
        </w:rPr>
        <w:t>11</w:t>
      </w:r>
      <w:r w:rsidR="00C827B0">
        <w:rPr>
          <w:color w:val="434343"/>
          <w:lang w:eastAsia="ja-JP"/>
        </w:rPr>
        <w:t xml:space="preserve">. </w:t>
      </w:r>
      <w:r w:rsidR="00C827B0" w:rsidRPr="00AE5B99">
        <w:rPr>
          <w:color w:val="434343"/>
          <w:lang w:eastAsia="ja-JP"/>
        </w:rPr>
        <w:t xml:space="preserve">Einleitender Rückblick auf das Gerichtsjahr 2012, elektronisch auf der Homepage der </w:t>
      </w:r>
      <w:proofErr w:type="gramStart"/>
      <w:r w:rsidR="00C827B0" w:rsidRPr="00AE5B99">
        <w:rPr>
          <w:color w:val="434343"/>
          <w:lang w:eastAsia="ja-JP"/>
        </w:rPr>
        <w:t>Konrad Adenauer Stiftung</w:t>
      </w:r>
      <w:proofErr w:type="gramEnd"/>
      <w:r w:rsidR="00C827B0" w:rsidRPr="00AE5B99">
        <w:rPr>
          <w:color w:val="434343"/>
          <w:lang w:eastAsia="ja-JP"/>
        </w:rPr>
        <w:t xml:space="preserve">, Katja Gelinsky u.a. (Hrsg.), Das Bundesverfassungsgericht – Bitte erheben Sie sich. Der Berliner Jahresrückblick </w:t>
      </w:r>
      <w:proofErr w:type="gramStart"/>
      <w:r w:rsidR="00C827B0" w:rsidRPr="00AE5B99">
        <w:rPr>
          <w:color w:val="434343"/>
          <w:lang w:eastAsia="ja-JP"/>
        </w:rPr>
        <w:t>2012 ,</w:t>
      </w:r>
      <w:proofErr w:type="gramEnd"/>
      <w:r w:rsidR="00C827B0" w:rsidRPr="00AE5B99">
        <w:rPr>
          <w:color w:val="434343"/>
          <w:lang w:eastAsia="ja-JP"/>
        </w:rPr>
        <w:t xml:space="preserve"> 1. Februar 2013 (</w:t>
      </w:r>
      <w:hyperlink r:id="rId16" w:history="1">
        <w:r w:rsidR="00C827B0" w:rsidRPr="00AE5B99">
          <w:rPr>
            <w:color w:val="2549B2"/>
            <w:lang w:eastAsia="ja-JP"/>
          </w:rPr>
          <w:t>www.kas.de/wf/de/33.33414/</w:t>
        </w:r>
      </w:hyperlink>
      <w:r w:rsidR="00C827B0" w:rsidRPr="00AE5B99">
        <w:rPr>
          <w:color w:val="434343"/>
          <w:lang w:eastAsia="ja-JP"/>
        </w:rPr>
        <w:t>)</w:t>
      </w:r>
    </w:p>
    <w:p w14:paraId="2147E5F2" w14:textId="3013F8C0" w:rsidR="003873AE" w:rsidRPr="00237E3F" w:rsidRDefault="00487EF0" w:rsidP="00CE4EBA">
      <w:pPr>
        <w:widowControl w:val="0"/>
        <w:tabs>
          <w:tab w:val="left" w:pos="220"/>
          <w:tab w:val="left" w:pos="720"/>
        </w:tabs>
        <w:autoSpaceDE w:val="0"/>
        <w:autoSpaceDN w:val="0"/>
        <w:adjustRightInd w:val="0"/>
        <w:spacing w:after="80"/>
        <w:rPr>
          <w:color w:val="434343"/>
          <w:lang w:eastAsia="ja-JP"/>
        </w:rPr>
      </w:pPr>
      <w:r>
        <w:rPr>
          <w:color w:val="434343"/>
          <w:lang w:eastAsia="ja-JP"/>
        </w:rPr>
        <w:t>12</w:t>
      </w:r>
      <w:r w:rsidR="003873AE">
        <w:rPr>
          <w:color w:val="434343"/>
          <w:lang w:eastAsia="ja-JP"/>
        </w:rPr>
        <w:t xml:space="preserve">. </w:t>
      </w:r>
      <w:r w:rsidR="003873AE" w:rsidRPr="00237E3F">
        <w:rPr>
          <w:color w:val="434343"/>
          <w:lang w:eastAsia="ja-JP"/>
        </w:rPr>
        <w:t>Gesprächsfazit: Kommunale Finanzautonomie zwischen Eigengestaltung und übertragenen Aufgaben, in: Hans-Günter Henneke (Hrsg.), Gesicherte Kommunalfinanzen trotz Verschuldungs- und Finanzkrise? Stuttgart 2014, S. 311 – 326</w:t>
      </w:r>
    </w:p>
    <w:p w14:paraId="7DE59CBE" w14:textId="7A89574E" w:rsidR="00076353" w:rsidRDefault="00487EF0" w:rsidP="00CE4EBA">
      <w:pPr>
        <w:widowControl w:val="0"/>
        <w:tabs>
          <w:tab w:val="left" w:pos="220"/>
          <w:tab w:val="left" w:pos="720"/>
        </w:tabs>
        <w:autoSpaceDE w:val="0"/>
        <w:autoSpaceDN w:val="0"/>
        <w:adjustRightInd w:val="0"/>
        <w:spacing w:after="80"/>
        <w:rPr>
          <w:color w:val="434343"/>
          <w:lang w:eastAsia="ja-JP"/>
        </w:rPr>
      </w:pPr>
      <w:r>
        <w:rPr>
          <w:color w:val="434343"/>
          <w:lang w:eastAsia="ja-JP"/>
        </w:rPr>
        <w:t>13</w:t>
      </w:r>
      <w:r w:rsidR="00703E70">
        <w:rPr>
          <w:color w:val="434343"/>
          <w:lang w:eastAsia="ja-JP"/>
        </w:rPr>
        <w:t xml:space="preserve">. </w:t>
      </w:r>
      <w:r w:rsidR="004F7F0E" w:rsidRPr="00A82A04">
        <w:rPr>
          <w:color w:val="434343"/>
          <w:lang w:eastAsia="ja-JP"/>
        </w:rPr>
        <w:t xml:space="preserve">Eine Wissenschaftsposse der Nachkriegszeit. </w:t>
      </w:r>
      <w:r w:rsidR="00B354BF" w:rsidRPr="00A82A04">
        <w:rPr>
          <w:color w:val="434343"/>
          <w:lang w:eastAsia="ja-JP"/>
        </w:rPr>
        <w:t>Ein wissenschaftliches Preisausschreiben, ein Nobelpreisträge</w:t>
      </w:r>
      <w:r w:rsidR="007C027B" w:rsidRPr="00A82A04">
        <w:rPr>
          <w:color w:val="434343"/>
          <w:lang w:eastAsia="ja-JP"/>
        </w:rPr>
        <w:t>r und ein Steinheimer Erfinder</w:t>
      </w:r>
      <w:r w:rsidR="00B354BF" w:rsidRPr="00A82A04">
        <w:rPr>
          <w:color w:val="434343"/>
          <w:lang w:eastAsia="ja-JP"/>
        </w:rPr>
        <w:t>, in: Kreis Höxter Jahrbuch 2015, Holzminden 2014, S. 112 – 123</w:t>
      </w:r>
    </w:p>
    <w:p w14:paraId="3F59B0C1" w14:textId="7D8B728F" w:rsidR="0074069C" w:rsidRDefault="00487EF0" w:rsidP="00CE4EBA">
      <w:pPr>
        <w:widowControl w:val="0"/>
        <w:tabs>
          <w:tab w:val="left" w:pos="220"/>
          <w:tab w:val="left" w:pos="720"/>
        </w:tabs>
        <w:autoSpaceDE w:val="0"/>
        <w:autoSpaceDN w:val="0"/>
        <w:adjustRightInd w:val="0"/>
        <w:spacing w:after="80"/>
        <w:rPr>
          <w:color w:val="434343"/>
          <w:lang w:eastAsia="ja-JP"/>
        </w:rPr>
      </w:pPr>
      <w:r>
        <w:rPr>
          <w:color w:val="434343"/>
          <w:lang w:eastAsia="ja-JP"/>
        </w:rPr>
        <w:t>14</w:t>
      </w:r>
      <w:r w:rsidR="00703E70">
        <w:rPr>
          <w:color w:val="434343"/>
          <w:lang w:eastAsia="ja-JP"/>
        </w:rPr>
        <w:t xml:space="preserve">. </w:t>
      </w:r>
      <w:r w:rsidR="00076353">
        <w:rPr>
          <w:color w:val="434343"/>
          <w:lang w:eastAsia="ja-JP"/>
        </w:rPr>
        <w:t xml:space="preserve">Gesprächsfazit (zu dem Professorengespräch des Deutschen Landkreistages „Aufsicht und </w:t>
      </w:r>
      <w:r w:rsidR="000A6625">
        <w:rPr>
          <w:color w:val="434343"/>
          <w:lang w:eastAsia="ja-JP"/>
        </w:rPr>
        <w:lastRenderedPageBreak/>
        <w:t>Finanzkontrolle über (Options-)K</w:t>
      </w:r>
      <w:r w:rsidR="00076353">
        <w:rPr>
          <w:color w:val="434343"/>
          <w:lang w:eastAsia="ja-JP"/>
        </w:rPr>
        <w:t>omunen), Der Landkreis 2015, S. 269 – 271</w:t>
      </w:r>
    </w:p>
    <w:p w14:paraId="5C00DF7D" w14:textId="69B23CFE" w:rsidR="00335AFE" w:rsidRDefault="003873AE" w:rsidP="00CE4EBA">
      <w:pPr>
        <w:widowControl w:val="0"/>
        <w:tabs>
          <w:tab w:val="left" w:pos="220"/>
          <w:tab w:val="left" w:pos="720"/>
        </w:tabs>
        <w:autoSpaceDE w:val="0"/>
        <w:autoSpaceDN w:val="0"/>
        <w:adjustRightInd w:val="0"/>
        <w:spacing w:after="80"/>
        <w:rPr>
          <w:color w:val="434343"/>
          <w:lang w:eastAsia="ja-JP"/>
        </w:rPr>
      </w:pPr>
      <w:r>
        <w:rPr>
          <w:color w:val="434343"/>
          <w:lang w:eastAsia="ja-JP"/>
        </w:rPr>
        <w:t>1</w:t>
      </w:r>
      <w:r w:rsidR="00487EF0">
        <w:rPr>
          <w:color w:val="434343"/>
          <w:lang w:eastAsia="ja-JP"/>
        </w:rPr>
        <w:t>5</w:t>
      </w:r>
      <w:r w:rsidR="00703E70">
        <w:rPr>
          <w:color w:val="434343"/>
          <w:lang w:eastAsia="ja-JP"/>
        </w:rPr>
        <w:t xml:space="preserve">. </w:t>
      </w:r>
      <w:r w:rsidR="0074069C">
        <w:rPr>
          <w:color w:val="434343"/>
          <w:lang w:eastAsia="ja-JP"/>
        </w:rPr>
        <w:t>Fazit, in: Henneke (Hrsg.), Aufsicht und Finanzkontrolle über gebietlich begrenzte kommunale Aufgabenerfüllung, Stuttgart 2015, S. 170 – 176</w:t>
      </w:r>
    </w:p>
    <w:p w14:paraId="75DACDC9" w14:textId="4FB4E613" w:rsidR="00A32BD2" w:rsidRDefault="00A32BD2" w:rsidP="00CE4EBA">
      <w:pPr>
        <w:widowControl w:val="0"/>
        <w:tabs>
          <w:tab w:val="left" w:pos="220"/>
          <w:tab w:val="left" w:pos="720"/>
        </w:tabs>
        <w:autoSpaceDE w:val="0"/>
        <w:autoSpaceDN w:val="0"/>
        <w:adjustRightInd w:val="0"/>
        <w:spacing w:after="80"/>
        <w:rPr>
          <w:color w:val="434343"/>
          <w:lang w:eastAsia="ja-JP"/>
        </w:rPr>
      </w:pPr>
      <w:r>
        <w:rPr>
          <w:color w:val="434343"/>
          <w:lang w:eastAsia="ja-JP"/>
        </w:rPr>
        <w:t xml:space="preserve">16. Oliver Jungen: Experten-Interview zum Rundfunksystem. „Die Reaktionen zeigen, dass wir einen wunden Punkt getroffen haben“. Der Jurist Dr. Christian Waldhoff über Inhalt, Ziele und folgen des von ihm mitverfassten BMF-Gutachtens, das eine grundlegende Reform des öffentlich-rechtlichen Rundfunks anregt, in: Zeit für die Schule: Medienkunde 2015/16, S. 107 – 108 </w:t>
      </w:r>
    </w:p>
    <w:p w14:paraId="224D5072" w14:textId="00FFEC1F" w:rsidR="0012138D" w:rsidRDefault="00EE6B42" w:rsidP="00CE4EBA">
      <w:pPr>
        <w:widowControl w:val="0"/>
        <w:tabs>
          <w:tab w:val="left" w:pos="220"/>
          <w:tab w:val="left" w:pos="720"/>
        </w:tabs>
        <w:autoSpaceDE w:val="0"/>
        <w:autoSpaceDN w:val="0"/>
        <w:adjustRightInd w:val="0"/>
        <w:spacing w:after="80"/>
        <w:rPr>
          <w:color w:val="434343"/>
          <w:lang w:eastAsia="ja-JP"/>
        </w:rPr>
      </w:pPr>
      <w:r>
        <w:rPr>
          <w:color w:val="434343"/>
          <w:lang w:eastAsia="ja-JP"/>
        </w:rPr>
        <w:t>1</w:t>
      </w:r>
      <w:r w:rsidR="00A32BD2">
        <w:rPr>
          <w:color w:val="434343"/>
          <w:lang w:eastAsia="ja-JP"/>
        </w:rPr>
        <w:t>7</w:t>
      </w:r>
      <w:r w:rsidR="00703E70">
        <w:rPr>
          <w:color w:val="434343"/>
          <w:lang w:eastAsia="ja-JP"/>
        </w:rPr>
        <w:t xml:space="preserve">. </w:t>
      </w:r>
      <w:r w:rsidR="00335AFE">
        <w:rPr>
          <w:color w:val="434343"/>
          <w:lang w:eastAsia="ja-JP"/>
        </w:rPr>
        <w:t>„Das ist eine Gratwanderung“. Interview mit Prof. Dr. Christian Waldhoff zum Staats-Kirche-Verhältnis und dem kirchlichen Arbeitsrecht, in: Die Info. Informationen für die pastorale Praxis 119 (2/2016), S. 2 – 7</w:t>
      </w:r>
    </w:p>
    <w:p w14:paraId="7F58CFFE" w14:textId="52AC7D15" w:rsidR="00703E70" w:rsidRDefault="003873AE" w:rsidP="00CE4EBA">
      <w:pPr>
        <w:widowControl w:val="0"/>
        <w:tabs>
          <w:tab w:val="left" w:pos="220"/>
          <w:tab w:val="left" w:pos="720"/>
        </w:tabs>
        <w:autoSpaceDE w:val="0"/>
        <w:autoSpaceDN w:val="0"/>
        <w:adjustRightInd w:val="0"/>
        <w:spacing w:after="80"/>
        <w:rPr>
          <w:color w:val="434343"/>
          <w:lang w:val="it-IT" w:eastAsia="ja-JP"/>
        </w:rPr>
      </w:pPr>
      <w:r>
        <w:rPr>
          <w:color w:val="434343"/>
          <w:lang w:eastAsia="ja-JP"/>
        </w:rPr>
        <w:t>1</w:t>
      </w:r>
      <w:r w:rsidR="00A32BD2">
        <w:rPr>
          <w:color w:val="434343"/>
          <w:lang w:eastAsia="ja-JP"/>
        </w:rPr>
        <w:t>8</w:t>
      </w:r>
      <w:r w:rsidR="00703E70">
        <w:rPr>
          <w:color w:val="434343"/>
          <w:lang w:eastAsia="ja-JP"/>
        </w:rPr>
        <w:t xml:space="preserve">. </w:t>
      </w:r>
      <w:r w:rsidR="0012138D">
        <w:rPr>
          <w:color w:val="434343"/>
          <w:lang w:eastAsia="ja-JP"/>
        </w:rPr>
        <w:t xml:space="preserve">Streikverbot in der Daseinsvorsorge? </w:t>
      </w:r>
      <w:r w:rsidR="0012138D" w:rsidRPr="003873AE">
        <w:rPr>
          <w:color w:val="434343"/>
          <w:lang w:val="it-IT" w:eastAsia="ja-JP"/>
        </w:rPr>
        <w:t>Pro, in: NJW 2016, Heft 47, S. 17</w:t>
      </w:r>
    </w:p>
    <w:p w14:paraId="11A41AC3" w14:textId="542F18E3" w:rsidR="00A32BD2" w:rsidRPr="003873AE" w:rsidRDefault="00A32BD2" w:rsidP="00CE4EBA">
      <w:pPr>
        <w:widowControl w:val="0"/>
        <w:tabs>
          <w:tab w:val="left" w:pos="220"/>
          <w:tab w:val="left" w:pos="720"/>
        </w:tabs>
        <w:autoSpaceDE w:val="0"/>
        <w:autoSpaceDN w:val="0"/>
        <w:adjustRightInd w:val="0"/>
        <w:spacing w:after="80"/>
        <w:rPr>
          <w:color w:val="434343"/>
          <w:lang w:val="it-IT" w:eastAsia="ja-JP"/>
        </w:rPr>
      </w:pPr>
      <w:r>
        <w:rPr>
          <w:color w:val="434343"/>
          <w:lang w:val="it-IT" w:eastAsia="ja-JP"/>
        </w:rPr>
        <w:t xml:space="preserve">19. “Das ist eine Gratwanderung”. Interview mit Prof. Dr. Christain Waldhoff zum Staats-Kirche-Verhältnis und dem kirchlichen Arbeitsrecht, in: Die Info. Informationen für die pastorale Praxis 119 (2016), S. 2 – 7 </w:t>
      </w:r>
    </w:p>
    <w:p w14:paraId="4B2A9C1D" w14:textId="04907AB9" w:rsidR="00A622E5" w:rsidRDefault="00A32BD2" w:rsidP="00CE4EBA">
      <w:pPr>
        <w:widowControl w:val="0"/>
        <w:tabs>
          <w:tab w:val="left" w:pos="220"/>
          <w:tab w:val="left" w:pos="720"/>
        </w:tabs>
        <w:autoSpaceDE w:val="0"/>
        <w:autoSpaceDN w:val="0"/>
        <w:adjustRightInd w:val="0"/>
        <w:spacing w:after="80"/>
      </w:pPr>
      <w:r>
        <w:t>20</w:t>
      </w:r>
      <w:r w:rsidR="00703E70">
        <w:t>. Geleitwort, in: Michael Plöse/Thomas Fritsche/Thomas Kuhn/Sven Lüders (Hrsg.), „Worübe</w:t>
      </w:r>
      <w:r w:rsidR="00B92BD0">
        <w:t>r reden wir eigentlich?“ Festga</w:t>
      </w:r>
      <w:r w:rsidR="00703E70">
        <w:t>be für Rosemarie Will, Berlin 2016, S. 23 – 28</w:t>
      </w:r>
    </w:p>
    <w:p w14:paraId="3F35D13B" w14:textId="202139F6" w:rsidR="00AC36FF" w:rsidRDefault="00A32BD2" w:rsidP="00CE4EBA">
      <w:r>
        <w:t>21</w:t>
      </w:r>
      <w:r w:rsidR="003873AE">
        <w:t>. Gesprächsfazit, in: Hans-Günter Henneke (Hrsg.), Rechtliche Herausforderungen bei der Entwicklung ländlicher Räume, Stuttgart 2017, S. 294 – 301</w:t>
      </w:r>
    </w:p>
    <w:p w14:paraId="316DD3F8" w14:textId="77777777" w:rsidR="005D2F5D" w:rsidRDefault="005D2F5D" w:rsidP="00CE4EBA"/>
    <w:p w14:paraId="0BD6E4F0" w14:textId="213A6FD0" w:rsidR="00703E70" w:rsidRDefault="00487EF0" w:rsidP="00CE4EBA">
      <w:r>
        <w:t>2</w:t>
      </w:r>
      <w:r w:rsidR="00A32BD2">
        <w:t>2</w:t>
      </w:r>
      <w:r w:rsidR="00AC36FF">
        <w:t>. Vollstreckung der Verfassung? Interview durch Joachim Jahn, in: ZRP</w:t>
      </w:r>
      <w:r w:rsidR="003873AE">
        <w:t xml:space="preserve"> </w:t>
      </w:r>
      <w:r w:rsidR="00AC36FF">
        <w:t xml:space="preserve">2018, S. 121 – 122 </w:t>
      </w:r>
    </w:p>
    <w:p w14:paraId="5D69B13A" w14:textId="77777777" w:rsidR="005D2F5D" w:rsidRDefault="005D2F5D" w:rsidP="00CE4EBA"/>
    <w:p w14:paraId="74C504D1" w14:textId="0C5653FE" w:rsidR="00AD1A89" w:rsidRDefault="00487EF0" w:rsidP="00AD1A89">
      <w:proofErr w:type="gramStart"/>
      <w:r>
        <w:t>2</w:t>
      </w:r>
      <w:r w:rsidR="00A32BD2">
        <w:t>3</w:t>
      </w:r>
      <w:r w:rsidR="00B75945">
        <w:t xml:space="preserve">. </w:t>
      </w:r>
      <w:r w:rsidR="00AD1A89">
        <w:t>,</w:t>
      </w:r>
      <w:proofErr w:type="gramEnd"/>
      <w:r w:rsidR="00AC36FF">
        <w:t xml:space="preserve">„Eine Art Vollstreckungs-Soft-Law“, Interview durch Joachim Jahn, in: NJW 22/2018, Redaktionsmantel S. </w:t>
      </w:r>
      <w:r w:rsidR="00AD1A89">
        <w:t>12 – 13 (=Kurfassung von IX 1</w:t>
      </w:r>
      <w:r w:rsidR="00B75945">
        <w:t>6</w:t>
      </w:r>
      <w:r w:rsidR="00AD1A89">
        <w:t>)</w:t>
      </w:r>
    </w:p>
    <w:p w14:paraId="564819EB" w14:textId="40945B19" w:rsidR="00AD1A89" w:rsidRDefault="00AD1A89" w:rsidP="00AD1A89"/>
    <w:p w14:paraId="2D6E9500" w14:textId="5F83436F" w:rsidR="00EE1B07" w:rsidRDefault="00487EF0" w:rsidP="00AD1A89">
      <w:r>
        <w:t>2</w:t>
      </w:r>
      <w:r w:rsidR="00A32BD2">
        <w:t>4</w:t>
      </w:r>
      <w:r w:rsidR="00AD1A89">
        <w:t xml:space="preserve">. Begrüßung, in: Hans-Peter Haferkamp/Jan Thiessen/Christian Waldhoff (Hrsg.), Deutsche Diktatorische </w:t>
      </w:r>
      <w:proofErr w:type="gramStart"/>
      <w:r w:rsidR="00AD1A89">
        <w:t>Rechtsgeschichten?,</w:t>
      </w:r>
      <w:proofErr w:type="gramEnd"/>
      <w:r w:rsidR="00AD1A89">
        <w:t xml:space="preserve"> Tübingen 2018, S. 1 – 3</w:t>
      </w:r>
    </w:p>
    <w:p w14:paraId="3B6E201C" w14:textId="75B2D9C1" w:rsidR="00EE1B07" w:rsidRDefault="00EE1B07" w:rsidP="00AD1A89"/>
    <w:p w14:paraId="720100CD" w14:textId="77777777" w:rsidR="00A32BD2" w:rsidRDefault="00487EF0" w:rsidP="00A32BD2">
      <w:pPr>
        <w:widowControl w:val="0"/>
        <w:tabs>
          <w:tab w:val="left" w:pos="220"/>
          <w:tab w:val="left" w:pos="720"/>
        </w:tabs>
        <w:autoSpaceDE w:val="0"/>
        <w:autoSpaceDN w:val="0"/>
        <w:adjustRightInd w:val="0"/>
        <w:spacing w:after="80"/>
      </w:pPr>
      <w:r>
        <w:t>2</w:t>
      </w:r>
      <w:r w:rsidR="00A32BD2">
        <w:t>5</w:t>
      </w:r>
      <w:r w:rsidR="00284FC4">
        <w:t>. Aufgabe erfüllt. Mit dem Zusammenbruch des Kaiserreichs vor hundert Jahren ging die letzte Phase des (evangelischen) Staatskirchentums in Deutschland zu Ende. Die religionsverfassungsrechtlichen Kompromisse, die aus der Revolutionszeit des Jahres 1918 hervorgingen, haben bis heute Bestand, in: Frankfurter Allgemeine Zeitung Nr. 251 vom 29. Oktober 2018, S. 6</w:t>
      </w:r>
    </w:p>
    <w:p w14:paraId="4581EA75" w14:textId="77777777" w:rsidR="00A32BD2" w:rsidRDefault="00487EF0" w:rsidP="00284FC4">
      <w:pPr>
        <w:widowControl w:val="0"/>
        <w:tabs>
          <w:tab w:val="left" w:pos="220"/>
          <w:tab w:val="left" w:pos="720"/>
        </w:tabs>
        <w:autoSpaceDE w:val="0"/>
        <w:autoSpaceDN w:val="0"/>
        <w:adjustRightInd w:val="0"/>
        <w:spacing w:after="80"/>
      </w:pPr>
      <w:r>
        <w:t>2</w:t>
      </w:r>
      <w:r w:rsidR="00A32BD2">
        <w:t>6</w:t>
      </w:r>
      <w:r w:rsidR="00EE1B07">
        <w:t xml:space="preserve">. „Bürgernähe aber keine Anbiederung“ – Interview durch Katja </w:t>
      </w:r>
      <w:proofErr w:type="gramStart"/>
      <w:r w:rsidR="00EE1B07">
        <w:t>Gelinsky,FAZ</w:t>
      </w:r>
      <w:proofErr w:type="gramEnd"/>
      <w:r w:rsidR="00EE1B07">
        <w:t>-Einspruch online, 22. Mai 2019</w:t>
      </w:r>
    </w:p>
    <w:p w14:paraId="5B7D2BB5" w14:textId="77777777" w:rsidR="00A32BD2" w:rsidRDefault="00284FC4" w:rsidP="00A32BD2">
      <w:pPr>
        <w:widowControl w:val="0"/>
        <w:tabs>
          <w:tab w:val="left" w:pos="220"/>
          <w:tab w:val="left" w:pos="720"/>
        </w:tabs>
        <w:autoSpaceDE w:val="0"/>
        <w:autoSpaceDN w:val="0"/>
        <w:adjustRightInd w:val="0"/>
        <w:spacing w:after="80"/>
      </w:pPr>
      <w:r>
        <w:t>2</w:t>
      </w:r>
      <w:r w:rsidR="00A32BD2">
        <w:t>7</w:t>
      </w:r>
      <w:r>
        <w:t xml:space="preserve">. Für ein besseres Deutschland? Zwischen dem Scheitern des Attentats auf Adolf Hitler am 20. Juli 1944 und der Arbeit des Parlamentarischen Rates lagen nicht einmal fünf Jahre. Welche Linien führen vom Widerstand zum </w:t>
      </w:r>
      <w:proofErr w:type="gramStart"/>
      <w:r>
        <w:t>Grundgesetz?,</w:t>
      </w:r>
      <w:proofErr w:type="gramEnd"/>
      <w:r>
        <w:t xml:space="preserve">  In: Frankfurter Allgemeine Zeitung Nr. 161 vom 15. Juli 2019, S. 6</w:t>
      </w:r>
    </w:p>
    <w:p w14:paraId="4ECA896C" w14:textId="77777777" w:rsidR="00A32BD2" w:rsidRDefault="00740CBB" w:rsidP="00A32BD2">
      <w:pPr>
        <w:widowControl w:val="0"/>
        <w:tabs>
          <w:tab w:val="left" w:pos="220"/>
          <w:tab w:val="left" w:pos="720"/>
        </w:tabs>
        <w:autoSpaceDE w:val="0"/>
        <w:autoSpaceDN w:val="0"/>
        <w:adjustRightInd w:val="0"/>
        <w:spacing w:after="80"/>
      </w:pPr>
      <w:r>
        <w:t>2</w:t>
      </w:r>
      <w:r w:rsidR="00A32BD2">
        <w:t>8</w:t>
      </w:r>
      <w:r>
        <w:t>. Gleichwertige Lebensverhältnisse im in seiner Tektonik veränderten Bundesstaat? Gesprächsfazit des DLT-Professorengesprächs 2019, in: Der Landkreis 2019, S. 321 – 322</w:t>
      </w:r>
    </w:p>
    <w:p w14:paraId="14081680" w14:textId="5EEBA2C5" w:rsidR="007D315F" w:rsidRDefault="007D315F" w:rsidP="00A32BD2">
      <w:pPr>
        <w:widowControl w:val="0"/>
        <w:tabs>
          <w:tab w:val="left" w:pos="220"/>
          <w:tab w:val="left" w:pos="720"/>
        </w:tabs>
        <w:autoSpaceDE w:val="0"/>
        <w:autoSpaceDN w:val="0"/>
        <w:adjustRightInd w:val="0"/>
        <w:spacing w:after="80"/>
      </w:pPr>
      <w:r>
        <w:t>2</w:t>
      </w:r>
      <w:r w:rsidR="00A32BD2">
        <w:t>9</w:t>
      </w:r>
      <w:r>
        <w:t>. „Im Seminar muss man einander ins Gesicht sehen können“, Interview durch Maximilian Steinbeiß und Anna von Notz, verfassungsblog.de/im-seminar-muss-man-einander-ins-gesicht-sehen-koennen/</w:t>
      </w:r>
    </w:p>
    <w:p w14:paraId="671E3F2F" w14:textId="77777777" w:rsidR="00A32BD2" w:rsidRDefault="007D315F" w:rsidP="00AD1A89">
      <w:r>
        <w:t>12. Februar 2020</w:t>
      </w:r>
    </w:p>
    <w:p w14:paraId="338C7646" w14:textId="77777777" w:rsidR="00A32BD2" w:rsidRDefault="00A32BD2" w:rsidP="00AD1A89"/>
    <w:p w14:paraId="1D36C443" w14:textId="77777777" w:rsidR="00A32BD2" w:rsidRDefault="00A32BD2" w:rsidP="00AD1A89">
      <w:r>
        <w:t>30</w:t>
      </w:r>
      <w:r w:rsidR="00B75945">
        <w:t>. Stresstest für die Verfassungsordnung. Die Corona-Krise und ihre Folgen für das Zusammenspiel von Staat, Wir</w:t>
      </w:r>
      <w:r w:rsidR="00396DF9">
        <w:t>t</w:t>
      </w:r>
      <w:r w:rsidR="00B75945">
        <w:t xml:space="preserve">schaft und Gesellschaft. Ein Gespräch mit den Staatsrechtslehrern </w:t>
      </w:r>
      <w:r w:rsidR="00B75945">
        <w:lastRenderedPageBreak/>
        <w:t>Hans Michael Heinig und Christian Waldhoff, Berlin 2020</w:t>
      </w:r>
      <w:r w:rsidR="00740CBB">
        <w:t xml:space="preserve"> </w:t>
      </w:r>
      <w:r w:rsidR="00FE0F52">
        <w:t xml:space="preserve">(in spanischer Übersetzung: Prueba de tensión para el orden constitucional: La crisis del coronavirus y sus consecuencias para la interacción entre Estado, la Economía y la Sociedad, </w:t>
      </w:r>
      <w:proofErr w:type="gramStart"/>
      <w:r w:rsidR="00FE0F52">
        <w:t>Konrad Adenauer-Stiftung</w:t>
      </w:r>
      <w:proofErr w:type="gramEnd"/>
      <w:r w:rsidR="00FE0F52">
        <w:t>; Diálogo derechos humanos, online)</w:t>
      </w:r>
    </w:p>
    <w:p w14:paraId="7149E164" w14:textId="77777777" w:rsidR="00A32BD2" w:rsidRDefault="00A32BD2" w:rsidP="00AD1A89"/>
    <w:p w14:paraId="4492BF7D" w14:textId="7DD08846" w:rsidR="007D315F" w:rsidRDefault="00A32BD2" w:rsidP="00AD1A89">
      <w:r>
        <w:t>31</w:t>
      </w:r>
      <w:r w:rsidR="007D315F">
        <w:t>. (</w:t>
      </w:r>
      <w:r w:rsidR="007D315F">
        <w:rPr>
          <w:i/>
        </w:rPr>
        <w:t>zusammen mit Christoph Möllers</w:t>
      </w:r>
      <w:r w:rsidR="007D315F">
        <w:t>) Sächsische Verfassungsschutz-Wirrungen, verfassungsblog.de/saechsische-verfassungsschutz-wirrungen</w:t>
      </w:r>
    </w:p>
    <w:p w14:paraId="150C8CBA" w14:textId="27DAFC9D" w:rsidR="007D315F" w:rsidRPr="007D315F" w:rsidRDefault="007D315F" w:rsidP="00AD1A89">
      <w:r>
        <w:t>8. Juli 2020</w:t>
      </w:r>
    </w:p>
    <w:p w14:paraId="607116E5" w14:textId="77777777" w:rsidR="00BF3C51" w:rsidRDefault="00BF3C51" w:rsidP="00AD1A89"/>
    <w:p w14:paraId="6D5D6005" w14:textId="20DA9228" w:rsidR="00AD1A89" w:rsidRDefault="00487EF0" w:rsidP="00AD1A89">
      <w:r>
        <w:t>3</w:t>
      </w:r>
      <w:r w:rsidR="00A32BD2">
        <w:t>2</w:t>
      </w:r>
      <w:r w:rsidR="00BF3C51">
        <w:t>. Literatur und Verfassung. Justizromane sind ein gängiges Genre,</w:t>
      </w:r>
      <w:r w:rsidR="00AD1A89">
        <w:t xml:space="preserve"> </w:t>
      </w:r>
      <w:r w:rsidR="00BF3C51">
        <w:t>Verfassungsromane gibt es keine. Oder doch? Eine Spurensuche, FAZ „Einspruch“</w:t>
      </w:r>
      <w:r w:rsidR="003060E1">
        <w:t>, September 2020</w:t>
      </w:r>
    </w:p>
    <w:p w14:paraId="532023B8" w14:textId="13071F31" w:rsidR="00223BA9" w:rsidRDefault="00223BA9" w:rsidP="00AD1A89"/>
    <w:p w14:paraId="46397F6C" w14:textId="4E850C14" w:rsidR="00396DF9" w:rsidRDefault="00487EF0" w:rsidP="00AD1A89">
      <w:r>
        <w:t>3</w:t>
      </w:r>
      <w:r w:rsidR="00A32BD2">
        <w:t>3</w:t>
      </w:r>
      <w:r w:rsidR="00223BA9">
        <w:t>. „Unbehagen des Gesetzgebers im Umgang mit Ungewissheiten“, Interview mit Kat</w:t>
      </w:r>
      <w:r w:rsidR="008760F1">
        <w:t>j</w:t>
      </w:r>
      <w:r w:rsidR="00223BA9">
        <w:t>a Gelinsky, ZRP 2020</w:t>
      </w:r>
      <w:r w:rsidR="003060E1">
        <w:t>, S. 260 – 262</w:t>
      </w:r>
    </w:p>
    <w:p w14:paraId="1CC53076" w14:textId="77777777" w:rsidR="00396DF9" w:rsidRDefault="00396DF9" w:rsidP="00AD1A89"/>
    <w:p w14:paraId="5F26BA9B" w14:textId="209444E0" w:rsidR="00092362" w:rsidRDefault="00487EF0" w:rsidP="00AD1A89">
      <w:r>
        <w:t>3</w:t>
      </w:r>
      <w:r w:rsidR="00A32BD2">
        <w:t>4</w:t>
      </w:r>
      <w:r w:rsidR="00396DF9">
        <w:t>. Krise und Konstitution, in: Die Politische Meinung</w:t>
      </w:r>
      <w:r w:rsidR="003060E1">
        <w:t xml:space="preserve"> </w:t>
      </w:r>
      <w:r w:rsidR="00396DF9">
        <w:t>567 (66. Jg., März/April 2021), S. 46 – 50</w:t>
      </w:r>
    </w:p>
    <w:p w14:paraId="3EE9ED4E" w14:textId="087D3448" w:rsidR="00ED1915" w:rsidRDefault="00ED1915" w:rsidP="00ED1915"/>
    <w:p w14:paraId="464B74E3" w14:textId="23D36547" w:rsidR="00ED1915" w:rsidRPr="00ED1915" w:rsidRDefault="00487EF0" w:rsidP="00ED1915">
      <w:r>
        <w:t>3</w:t>
      </w:r>
      <w:r w:rsidR="00A32BD2">
        <w:t>5</w:t>
      </w:r>
      <w:r w:rsidR="00ED1915">
        <w:t>. (</w:t>
      </w:r>
      <w:r w:rsidR="00ED1915">
        <w:rPr>
          <w:i/>
          <w:iCs/>
        </w:rPr>
        <w:t>zusammen mit Ekkehart Reimer</w:t>
      </w:r>
      <w:r w:rsidR="00ED1915">
        <w:t>) Fort mit Erzberger! Er war ein Pionier des Parlamentarismus im Kaiserreich und starb als Märtyrer der Weimarer Republik: Am 26. August 1921 wurde der Zentrumspolitiker Matthias Erzberger ermordet, in: Frankfurter Allgemeine Zeitung Nr. 194 vom 23. August 2021, S. 6</w:t>
      </w:r>
    </w:p>
    <w:p w14:paraId="69E79789" w14:textId="77777777" w:rsidR="00092362" w:rsidRDefault="00092362" w:rsidP="00AD1A89"/>
    <w:p w14:paraId="081A09C0" w14:textId="79AD7237" w:rsidR="004D072A" w:rsidRDefault="00487EF0" w:rsidP="00AD1A89">
      <w:r>
        <w:t>3</w:t>
      </w:r>
      <w:r w:rsidR="00A32BD2">
        <w:t>6</w:t>
      </w:r>
      <w:r w:rsidR="00092362">
        <w:t>. Hausarbeit im Öffentlichen Recht für Fortgeschrittene – Privatschulen – Rechtswidrige Extrabehandlung? Lösung von stud. iur. Greta Niehaus, StudZR 2021, S. 53 – 83</w:t>
      </w:r>
    </w:p>
    <w:p w14:paraId="6D71C5E5" w14:textId="77777777" w:rsidR="004D072A" w:rsidRDefault="004D072A" w:rsidP="00AD1A89"/>
    <w:p w14:paraId="5CA5D7BE" w14:textId="6B247374" w:rsidR="0057625B" w:rsidRDefault="00487EF0" w:rsidP="0057625B">
      <w:r>
        <w:t>3</w:t>
      </w:r>
      <w:r w:rsidR="00A32BD2">
        <w:t>7</w:t>
      </w:r>
      <w:r w:rsidR="00A443FC">
        <w:t xml:space="preserve">. </w:t>
      </w:r>
      <w:r w:rsidR="004D072A">
        <w:t>(</w:t>
      </w:r>
      <w:r w:rsidR="004D072A" w:rsidRPr="00ED1915">
        <w:rPr>
          <w:i/>
          <w:iCs/>
        </w:rPr>
        <w:t>zusammen mit</w:t>
      </w:r>
      <w:r w:rsidR="004D072A">
        <w:t xml:space="preserve"> </w:t>
      </w:r>
      <w:r w:rsidR="004D072A" w:rsidRPr="00A443FC">
        <w:rPr>
          <w:i/>
        </w:rPr>
        <w:t>Detlev Fey</w:t>
      </w:r>
      <w:r w:rsidR="004D072A">
        <w:t xml:space="preserve">, </w:t>
      </w:r>
      <w:r w:rsidR="004D072A" w:rsidRPr="00A443FC">
        <w:rPr>
          <w:i/>
        </w:rPr>
        <w:t>Peter Stein</w:t>
      </w:r>
      <w:r w:rsidR="004D072A">
        <w:t xml:space="preserve">, </w:t>
      </w:r>
      <w:r w:rsidR="004D072A" w:rsidRPr="00A443FC">
        <w:rPr>
          <w:i/>
        </w:rPr>
        <w:t>Antje von Ungern-</w:t>
      </w:r>
      <w:proofErr w:type="gramStart"/>
      <w:r w:rsidR="004D072A" w:rsidRPr="00A443FC">
        <w:rPr>
          <w:i/>
        </w:rPr>
        <w:t>Sternberg</w:t>
      </w:r>
      <w:r w:rsidR="004D072A">
        <w:t xml:space="preserve">  und</w:t>
      </w:r>
      <w:proofErr w:type="gramEnd"/>
      <w:r w:rsidR="004D072A">
        <w:t xml:space="preserve"> </w:t>
      </w:r>
      <w:r w:rsidR="004D072A" w:rsidRPr="00A443FC">
        <w:rPr>
          <w:i/>
        </w:rPr>
        <w:t>Sven Lüders</w:t>
      </w:r>
      <w:r w:rsidR="004D072A">
        <w:t>) Verfassungsmäßigkeit der Umsetzung der EuGH-Urteile zu „Egenberger“ und „Chefarzt“ (5. Berliner Gespräch: Kirchliches Sonderarbeitsrecht – Teil 1, in: Vorgänge. Zeitschrift für Bürgerrechte und Gesellschaftspolitik 233, August 2021, S. 17 – 38</w:t>
      </w:r>
    </w:p>
    <w:p w14:paraId="706E2A17" w14:textId="72EAB9DC" w:rsidR="0057625B" w:rsidRDefault="0057625B" w:rsidP="0057625B"/>
    <w:p w14:paraId="31E92CAD" w14:textId="1CA0FF00" w:rsidR="0057625B" w:rsidRDefault="0057625B" w:rsidP="0057625B">
      <w:r>
        <w:t>38. Wahlen in Berlin. Ein Bericht, in: Verfassungsblog vom 28. September 2021</w:t>
      </w:r>
    </w:p>
    <w:p w14:paraId="10C8C4ED" w14:textId="77777777" w:rsidR="00A443FC" w:rsidRDefault="00A443FC" w:rsidP="00A443FC"/>
    <w:p w14:paraId="48501315" w14:textId="69B9EF53" w:rsidR="00A32BD2" w:rsidRPr="00A32BD2" w:rsidRDefault="00ED1915" w:rsidP="00A443FC">
      <w:r w:rsidRPr="00A32BD2">
        <w:t>3</w:t>
      </w:r>
      <w:r w:rsidR="0057625B">
        <w:t>9</w:t>
      </w:r>
      <w:r w:rsidR="00A443FC" w:rsidRPr="00A32BD2">
        <w:t xml:space="preserve">. </w:t>
      </w:r>
      <w:r w:rsidR="00A32BD2" w:rsidRPr="00A32BD2">
        <w:t xml:space="preserve">Unerfüllte Erwartungen. Der Verfassungsstaat und die Schwäche der Kirchen, in: Die Politische Meinung 2022, S. </w:t>
      </w:r>
      <w:r w:rsidR="00A32BD2">
        <w:t xml:space="preserve">36 – 43 </w:t>
      </w:r>
    </w:p>
    <w:p w14:paraId="07372A16" w14:textId="77777777" w:rsidR="00A32BD2" w:rsidRPr="00A32BD2" w:rsidRDefault="00A32BD2" w:rsidP="00A443FC"/>
    <w:p w14:paraId="402E58AC" w14:textId="3B841EAF" w:rsidR="00ED1915" w:rsidRDefault="0057625B" w:rsidP="00A443FC">
      <w:pPr>
        <w:rPr>
          <w:lang w:val="en-US"/>
        </w:rPr>
      </w:pPr>
      <w:r>
        <w:rPr>
          <w:lang w:val="en-US"/>
        </w:rPr>
        <w:t>40</w:t>
      </w:r>
      <w:r w:rsidR="00A32BD2">
        <w:rPr>
          <w:lang w:val="en-US"/>
        </w:rPr>
        <w:t xml:space="preserve">. </w:t>
      </w:r>
      <w:r w:rsidR="00A443FC" w:rsidRPr="00A443FC">
        <w:rPr>
          <w:lang w:val="en-US"/>
        </w:rPr>
        <w:t xml:space="preserve">Interviste sulla legalità: Christian Waldhoff e Lucio D’Alessandro, in: Giuseppe Acocella (ed.), Materiali per una cultura della legalità, Torino 2022, S. </w:t>
      </w:r>
      <w:r w:rsidR="00A443FC">
        <w:rPr>
          <w:lang w:val="en-US"/>
        </w:rPr>
        <w:t>211 – 215</w:t>
      </w:r>
    </w:p>
    <w:p w14:paraId="78A0E9C9" w14:textId="77777777" w:rsidR="00ED1915" w:rsidRDefault="00ED1915" w:rsidP="00A443FC">
      <w:pPr>
        <w:rPr>
          <w:lang w:val="en-US"/>
        </w:rPr>
      </w:pPr>
    </w:p>
    <w:p w14:paraId="3F6709D7" w14:textId="77777777" w:rsidR="007B04E7" w:rsidRDefault="00A32BD2" w:rsidP="008E205C">
      <w:r>
        <w:t>4</w:t>
      </w:r>
      <w:r w:rsidR="0057625B">
        <w:t>1</w:t>
      </w:r>
      <w:r w:rsidR="00ED1915" w:rsidRPr="00ED1915">
        <w:t>. Kirchen im Verfassungsstaat. Die Autonomie der Kirchen und die re</w:t>
      </w:r>
      <w:r w:rsidR="00ED1915">
        <w:t>ligiös-weltanschauliche Neutralität des Staates sind unverhandelbar. Aber das gilt auch für die Rechtstreue der Kirchen und die Erwartungen des Staates, in: Frankfurter Allgemeine Zeitung, Nr. 13 vom 16. Januar 2023, S. 6</w:t>
      </w:r>
    </w:p>
    <w:p w14:paraId="39095176" w14:textId="77777777" w:rsidR="007B04E7" w:rsidRDefault="007B04E7" w:rsidP="008E205C"/>
    <w:p w14:paraId="12AA9992" w14:textId="7F430CDC" w:rsidR="007B04E7" w:rsidRDefault="007B04E7" w:rsidP="007B04E7">
      <w:pPr>
        <w:widowControl w:val="0"/>
        <w:tabs>
          <w:tab w:val="left" w:pos="220"/>
          <w:tab w:val="left" w:pos="720"/>
        </w:tabs>
        <w:autoSpaceDE w:val="0"/>
        <w:autoSpaceDN w:val="0"/>
        <w:adjustRightInd w:val="0"/>
        <w:spacing w:after="80"/>
      </w:pPr>
      <w:r>
        <w:t xml:space="preserve">42. Bürgerfeste reichen nicht. Eine Verfassungskrise gab es in 75 Jahren Bundesrepublik nicht. Doch das Grundgesetz allein ist noch kein Schutz vor Weimarer Verhältnissen. Wie vermitteln wir die rechtliche Grundordnung unseres </w:t>
      </w:r>
      <w:proofErr w:type="gramStart"/>
      <w:r>
        <w:t>Staates?,</w:t>
      </w:r>
      <w:proofErr w:type="gramEnd"/>
      <w:r>
        <w:t xml:space="preserve"> Frankfurter Allgemeine Zeitung Nr. 303 vom 30. Dezember 2024, S. 6</w:t>
      </w:r>
    </w:p>
    <w:p w14:paraId="62A21C75" w14:textId="002AB1CA" w:rsidR="007B04E7" w:rsidRDefault="007B04E7" w:rsidP="007B04E7">
      <w:pPr>
        <w:widowControl w:val="0"/>
        <w:tabs>
          <w:tab w:val="left" w:pos="220"/>
          <w:tab w:val="left" w:pos="720"/>
        </w:tabs>
        <w:autoSpaceDE w:val="0"/>
        <w:autoSpaceDN w:val="0"/>
        <w:adjustRightInd w:val="0"/>
        <w:spacing w:after="80"/>
      </w:pPr>
    </w:p>
    <w:p w14:paraId="00F33A79" w14:textId="19A696D0" w:rsidR="007B04E7" w:rsidRDefault="007B04E7" w:rsidP="007B04E7">
      <w:pPr>
        <w:widowControl w:val="0"/>
        <w:tabs>
          <w:tab w:val="left" w:pos="220"/>
          <w:tab w:val="left" w:pos="720"/>
        </w:tabs>
        <w:autoSpaceDE w:val="0"/>
        <w:autoSpaceDN w:val="0"/>
        <w:adjustRightInd w:val="0"/>
        <w:spacing w:after="80"/>
      </w:pPr>
      <w:r>
        <w:t xml:space="preserve">43. „Die Bundesländer haben Angst vor Autonomie“. Der Finanzrechtler Christian Waldhoff über das Finanzpaket für den Haushalt und die Bund-Länder-Beziehungen (Interviews von </w:t>
      </w:r>
      <w:r>
        <w:lastRenderedPageBreak/>
        <w:t>Katja Gelinsky)</w:t>
      </w:r>
      <w:r w:rsidR="00BA2D05">
        <w:t>, Frankfurter Allgemeine Zeitung Nr. 86 vom 11. April 2025, S. 18</w:t>
      </w:r>
    </w:p>
    <w:p w14:paraId="087E9040" w14:textId="08251BDD" w:rsidR="00703E70" w:rsidRPr="008E205C" w:rsidRDefault="004D072A" w:rsidP="008E205C">
      <w:r w:rsidRPr="00ED1915">
        <w:t xml:space="preserve"> </w:t>
      </w:r>
      <w:r w:rsidR="00092362" w:rsidRPr="00ED1915">
        <w:t xml:space="preserve"> </w:t>
      </w:r>
      <w:r w:rsidR="00396DF9" w:rsidRPr="00ED1915">
        <w:t xml:space="preserve"> </w:t>
      </w:r>
    </w:p>
    <w:sectPr w:rsidR="00703E70" w:rsidRPr="008E205C" w:rsidSect="00B74BC9">
      <w:headerReference w:type="even" r:id="rId17"/>
      <w:headerReference w:type="default" r:id="rId18"/>
      <w:pgSz w:w="11900" w:h="16840"/>
      <w:pgMar w:top="1417" w:right="1417" w:bottom="1134"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8B86A" w14:textId="77777777" w:rsidR="00963224" w:rsidRDefault="00963224" w:rsidP="00B74BC9">
      <w:r>
        <w:separator/>
      </w:r>
    </w:p>
  </w:endnote>
  <w:endnote w:type="continuationSeparator" w:id="0">
    <w:p w14:paraId="3007456A" w14:textId="77777777" w:rsidR="00963224" w:rsidRDefault="00963224" w:rsidP="00B7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4C039" w14:textId="77777777" w:rsidR="00963224" w:rsidRDefault="00963224" w:rsidP="00B74BC9">
      <w:r>
        <w:separator/>
      </w:r>
    </w:p>
  </w:footnote>
  <w:footnote w:type="continuationSeparator" w:id="0">
    <w:p w14:paraId="7163C584" w14:textId="77777777" w:rsidR="00963224" w:rsidRDefault="00963224" w:rsidP="00B74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DC525" w14:textId="77777777" w:rsidR="00A6286A" w:rsidRDefault="00A6286A" w:rsidP="00FC714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2BC38DA5" w14:textId="77777777" w:rsidR="00A6286A" w:rsidRDefault="00A628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DF1E8" w14:textId="77777777" w:rsidR="00A6286A" w:rsidRDefault="00A6286A" w:rsidP="00FC714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31</w:t>
    </w:r>
    <w:r>
      <w:rPr>
        <w:rStyle w:val="Seitenzahl"/>
      </w:rPr>
      <w:fldChar w:fldCharType="end"/>
    </w:r>
  </w:p>
  <w:p w14:paraId="78BBB439" w14:textId="77777777" w:rsidR="00A6286A" w:rsidRDefault="00A6286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63F2B0A"/>
    <w:multiLevelType w:val="hybridMultilevel"/>
    <w:tmpl w:val="00000005"/>
    <w:lvl w:ilvl="0" w:tplc="FFFFFFFF">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C910B6F"/>
    <w:multiLevelType w:val="hybridMultilevel"/>
    <w:tmpl w:val="00000005"/>
    <w:lvl w:ilvl="0" w:tplc="FFFFFFFF">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E2D5545"/>
    <w:multiLevelType w:val="hybridMultilevel"/>
    <w:tmpl w:val="00000005"/>
    <w:lvl w:ilvl="0" w:tplc="FFFFFFFF">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DCE0A8C"/>
    <w:multiLevelType w:val="hybridMultilevel"/>
    <w:tmpl w:val="00000005"/>
    <w:lvl w:ilvl="0" w:tplc="FFFFFFFF">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E4C52C1"/>
    <w:multiLevelType w:val="hybridMultilevel"/>
    <w:tmpl w:val="00000005"/>
    <w:lvl w:ilvl="0" w:tplc="0000019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02A6972"/>
    <w:multiLevelType w:val="hybridMultilevel"/>
    <w:tmpl w:val="00000005"/>
    <w:lvl w:ilvl="0" w:tplc="0000019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93449DE"/>
    <w:multiLevelType w:val="hybridMultilevel"/>
    <w:tmpl w:val="00000005"/>
    <w:lvl w:ilvl="0" w:tplc="0000019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F8A3E4D"/>
    <w:multiLevelType w:val="hybridMultilevel"/>
    <w:tmpl w:val="00000005"/>
    <w:lvl w:ilvl="0" w:tplc="FFFFFFFF">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7346B03"/>
    <w:multiLevelType w:val="hybridMultilevel"/>
    <w:tmpl w:val="00000005"/>
    <w:lvl w:ilvl="0" w:tplc="FFFFFFFF">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E986B1A"/>
    <w:multiLevelType w:val="hybridMultilevel"/>
    <w:tmpl w:val="00000005"/>
    <w:lvl w:ilvl="0" w:tplc="FFFFFFFF">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6"/>
  </w:num>
  <w:num w:numId="13">
    <w:abstractNumId w:val="15"/>
  </w:num>
  <w:num w:numId="14">
    <w:abstractNumId w:val="12"/>
  </w:num>
  <w:num w:numId="15">
    <w:abstractNumId w:val="18"/>
  </w:num>
  <w:num w:numId="16">
    <w:abstractNumId w:val="14"/>
  </w:num>
  <w:num w:numId="17">
    <w:abstractNumId w:val="19"/>
  </w:num>
  <w:num w:numId="18">
    <w:abstractNumId w:val="20"/>
  </w:num>
  <w:num w:numId="19">
    <w:abstractNumId w:val="11"/>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hideSpellingErrors/>
  <w:hideGrammaticalErrors/>
  <w:proofState w:grammar="clean"/>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62"/>
    <w:rsid w:val="00000EF8"/>
    <w:rsid w:val="00004E1F"/>
    <w:rsid w:val="00006E04"/>
    <w:rsid w:val="00007AB7"/>
    <w:rsid w:val="00013DD5"/>
    <w:rsid w:val="00015AA5"/>
    <w:rsid w:val="00015E2B"/>
    <w:rsid w:val="000163F9"/>
    <w:rsid w:val="000173AA"/>
    <w:rsid w:val="00020C87"/>
    <w:rsid w:val="000217A1"/>
    <w:rsid w:val="000241E3"/>
    <w:rsid w:val="000241ED"/>
    <w:rsid w:val="00032594"/>
    <w:rsid w:val="00032683"/>
    <w:rsid w:val="0003433C"/>
    <w:rsid w:val="00034ABC"/>
    <w:rsid w:val="00035258"/>
    <w:rsid w:val="00035908"/>
    <w:rsid w:val="00036266"/>
    <w:rsid w:val="00043980"/>
    <w:rsid w:val="00052567"/>
    <w:rsid w:val="00054D81"/>
    <w:rsid w:val="00057B1C"/>
    <w:rsid w:val="00061277"/>
    <w:rsid w:val="000616B8"/>
    <w:rsid w:val="00062A90"/>
    <w:rsid w:val="00062D4C"/>
    <w:rsid w:val="00064495"/>
    <w:rsid w:val="00070FC1"/>
    <w:rsid w:val="0007170C"/>
    <w:rsid w:val="00073E91"/>
    <w:rsid w:val="00076353"/>
    <w:rsid w:val="00083549"/>
    <w:rsid w:val="00083D5C"/>
    <w:rsid w:val="00085144"/>
    <w:rsid w:val="00092362"/>
    <w:rsid w:val="00094BFE"/>
    <w:rsid w:val="0009697C"/>
    <w:rsid w:val="000A6625"/>
    <w:rsid w:val="000A7BD3"/>
    <w:rsid w:val="000B0722"/>
    <w:rsid w:val="000B0CCC"/>
    <w:rsid w:val="000B0CDF"/>
    <w:rsid w:val="000B63F9"/>
    <w:rsid w:val="000B687E"/>
    <w:rsid w:val="000B7D35"/>
    <w:rsid w:val="000C08C8"/>
    <w:rsid w:val="000C1E70"/>
    <w:rsid w:val="000C4778"/>
    <w:rsid w:val="000D4E9B"/>
    <w:rsid w:val="000D722A"/>
    <w:rsid w:val="000D7C17"/>
    <w:rsid w:val="000E1DC4"/>
    <w:rsid w:val="000E5340"/>
    <w:rsid w:val="000E6374"/>
    <w:rsid w:val="000E640C"/>
    <w:rsid w:val="000E7AA1"/>
    <w:rsid w:val="000E7BF6"/>
    <w:rsid w:val="000F10BE"/>
    <w:rsid w:val="000F2895"/>
    <w:rsid w:val="000F43BA"/>
    <w:rsid w:val="000F69C8"/>
    <w:rsid w:val="00100CD4"/>
    <w:rsid w:val="0010368A"/>
    <w:rsid w:val="00105D8F"/>
    <w:rsid w:val="00111275"/>
    <w:rsid w:val="001204A9"/>
    <w:rsid w:val="0012138D"/>
    <w:rsid w:val="0012153E"/>
    <w:rsid w:val="00122222"/>
    <w:rsid w:val="0012318B"/>
    <w:rsid w:val="00123A5A"/>
    <w:rsid w:val="001301C4"/>
    <w:rsid w:val="00130C04"/>
    <w:rsid w:val="00130E96"/>
    <w:rsid w:val="00132A32"/>
    <w:rsid w:val="00133B78"/>
    <w:rsid w:val="00133F76"/>
    <w:rsid w:val="00135D30"/>
    <w:rsid w:val="00140637"/>
    <w:rsid w:val="001407A0"/>
    <w:rsid w:val="00141864"/>
    <w:rsid w:val="00146FFA"/>
    <w:rsid w:val="00153B30"/>
    <w:rsid w:val="00153C1F"/>
    <w:rsid w:val="00155A9C"/>
    <w:rsid w:val="0016034D"/>
    <w:rsid w:val="00172BD4"/>
    <w:rsid w:val="00174988"/>
    <w:rsid w:val="00183924"/>
    <w:rsid w:val="0018736D"/>
    <w:rsid w:val="00190649"/>
    <w:rsid w:val="00190C16"/>
    <w:rsid w:val="001913CE"/>
    <w:rsid w:val="0019150D"/>
    <w:rsid w:val="001928A6"/>
    <w:rsid w:val="0019352F"/>
    <w:rsid w:val="0019430D"/>
    <w:rsid w:val="0019489B"/>
    <w:rsid w:val="0019799C"/>
    <w:rsid w:val="001A22ED"/>
    <w:rsid w:val="001A34BE"/>
    <w:rsid w:val="001A64F0"/>
    <w:rsid w:val="001A6A26"/>
    <w:rsid w:val="001A78CE"/>
    <w:rsid w:val="001B5154"/>
    <w:rsid w:val="001B6B7B"/>
    <w:rsid w:val="001B7C5B"/>
    <w:rsid w:val="001C1394"/>
    <w:rsid w:val="001C1402"/>
    <w:rsid w:val="001C53D1"/>
    <w:rsid w:val="001C7666"/>
    <w:rsid w:val="001D3EB3"/>
    <w:rsid w:val="001D5B14"/>
    <w:rsid w:val="001D5F61"/>
    <w:rsid w:val="001D7A42"/>
    <w:rsid w:val="001E7293"/>
    <w:rsid w:val="001F6D85"/>
    <w:rsid w:val="0020098C"/>
    <w:rsid w:val="0020214D"/>
    <w:rsid w:val="0020225B"/>
    <w:rsid w:val="002025DD"/>
    <w:rsid w:val="0020791B"/>
    <w:rsid w:val="00211ED2"/>
    <w:rsid w:val="00212F68"/>
    <w:rsid w:val="002135DE"/>
    <w:rsid w:val="00217F96"/>
    <w:rsid w:val="00223948"/>
    <w:rsid w:val="00223BA9"/>
    <w:rsid w:val="0023255D"/>
    <w:rsid w:val="00232E1D"/>
    <w:rsid w:val="00233460"/>
    <w:rsid w:val="00236501"/>
    <w:rsid w:val="00237BDC"/>
    <w:rsid w:val="00237E3F"/>
    <w:rsid w:val="0024005D"/>
    <w:rsid w:val="0024765D"/>
    <w:rsid w:val="00267CE7"/>
    <w:rsid w:val="00270AC5"/>
    <w:rsid w:val="00271514"/>
    <w:rsid w:val="00277146"/>
    <w:rsid w:val="00284FC4"/>
    <w:rsid w:val="0028650F"/>
    <w:rsid w:val="0028702F"/>
    <w:rsid w:val="002913A2"/>
    <w:rsid w:val="00292572"/>
    <w:rsid w:val="00294602"/>
    <w:rsid w:val="002A0DE1"/>
    <w:rsid w:val="002A415A"/>
    <w:rsid w:val="002A4EED"/>
    <w:rsid w:val="002A53CC"/>
    <w:rsid w:val="002A5989"/>
    <w:rsid w:val="002A7707"/>
    <w:rsid w:val="002B648C"/>
    <w:rsid w:val="002B6CFF"/>
    <w:rsid w:val="002B73E4"/>
    <w:rsid w:val="002C00FB"/>
    <w:rsid w:val="002C00FD"/>
    <w:rsid w:val="002C0922"/>
    <w:rsid w:val="002C4C46"/>
    <w:rsid w:val="002C78C3"/>
    <w:rsid w:val="002D017C"/>
    <w:rsid w:val="002D378A"/>
    <w:rsid w:val="002D4423"/>
    <w:rsid w:val="002F61F8"/>
    <w:rsid w:val="00301867"/>
    <w:rsid w:val="00302B5D"/>
    <w:rsid w:val="003032F5"/>
    <w:rsid w:val="003044A7"/>
    <w:rsid w:val="00305F7E"/>
    <w:rsid w:val="003060E1"/>
    <w:rsid w:val="00312314"/>
    <w:rsid w:val="003225B1"/>
    <w:rsid w:val="00331284"/>
    <w:rsid w:val="00335AFE"/>
    <w:rsid w:val="00337237"/>
    <w:rsid w:val="00337E63"/>
    <w:rsid w:val="0035112A"/>
    <w:rsid w:val="00354023"/>
    <w:rsid w:val="00355B08"/>
    <w:rsid w:val="0035657C"/>
    <w:rsid w:val="003610AA"/>
    <w:rsid w:val="00366F70"/>
    <w:rsid w:val="0036773B"/>
    <w:rsid w:val="00372AC7"/>
    <w:rsid w:val="00374391"/>
    <w:rsid w:val="003744EA"/>
    <w:rsid w:val="00376002"/>
    <w:rsid w:val="003802CC"/>
    <w:rsid w:val="00383759"/>
    <w:rsid w:val="0038631E"/>
    <w:rsid w:val="00387254"/>
    <w:rsid w:val="003873AE"/>
    <w:rsid w:val="00387C0E"/>
    <w:rsid w:val="00396DF9"/>
    <w:rsid w:val="003A067A"/>
    <w:rsid w:val="003A1A5E"/>
    <w:rsid w:val="003A64D6"/>
    <w:rsid w:val="003B2756"/>
    <w:rsid w:val="003B7D09"/>
    <w:rsid w:val="003C01CD"/>
    <w:rsid w:val="003C1893"/>
    <w:rsid w:val="003C3D4E"/>
    <w:rsid w:val="003C6C0E"/>
    <w:rsid w:val="003D053B"/>
    <w:rsid w:val="003D4EF9"/>
    <w:rsid w:val="003D61B2"/>
    <w:rsid w:val="003E0D93"/>
    <w:rsid w:val="003E115D"/>
    <w:rsid w:val="003E1524"/>
    <w:rsid w:val="003E2061"/>
    <w:rsid w:val="003E4B38"/>
    <w:rsid w:val="003F1C1B"/>
    <w:rsid w:val="003F2759"/>
    <w:rsid w:val="003F4FF2"/>
    <w:rsid w:val="003F5DDA"/>
    <w:rsid w:val="004006D1"/>
    <w:rsid w:val="00402CAA"/>
    <w:rsid w:val="00410D56"/>
    <w:rsid w:val="00412045"/>
    <w:rsid w:val="00413B91"/>
    <w:rsid w:val="00417DBB"/>
    <w:rsid w:val="00420439"/>
    <w:rsid w:val="00420BB5"/>
    <w:rsid w:val="00422B7D"/>
    <w:rsid w:val="00424FB8"/>
    <w:rsid w:val="004328DE"/>
    <w:rsid w:val="00433EC9"/>
    <w:rsid w:val="0044007C"/>
    <w:rsid w:val="0044099F"/>
    <w:rsid w:val="00445BF1"/>
    <w:rsid w:val="0044680E"/>
    <w:rsid w:val="00450FE5"/>
    <w:rsid w:val="004524B3"/>
    <w:rsid w:val="00455DF2"/>
    <w:rsid w:val="00456290"/>
    <w:rsid w:val="00457EC3"/>
    <w:rsid w:val="0046029C"/>
    <w:rsid w:val="004602A8"/>
    <w:rsid w:val="0046711A"/>
    <w:rsid w:val="00471DCD"/>
    <w:rsid w:val="0047202E"/>
    <w:rsid w:val="00472838"/>
    <w:rsid w:val="004731AB"/>
    <w:rsid w:val="004746CC"/>
    <w:rsid w:val="0047527F"/>
    <w:rsid w:val="004770F7"/>
    <w:rsid w:val="00477898"/>
    <w:rsid w:val="00477B8D"/>
    <w:rsid w:val="00481225"/>
    <w:rsid w:val="004819EA"/>
    <w:rsid w:val="00481AF1"/>
    <w:rsid w:val="00485365"/>
    <w:rsid w:val="004866B8"/>
    <w:rsid w:val="00486FE4"/>
    <w:rsid w:val="00487EF0"/>
    <w:rsid w:val="004A094A"/>
    <w:rsid w:val="004A215F"/>
    <w:rsid w:val="004B55F4"/>
    <w:rsid w:val="004B5B96"/>
    <w:rsid w:val="004B5F06"/>
    <w:rsid w:val="004B75B9"/>
    <w:rsid w:val="004C2788"/>
    <w:rsid w:val="004C36CA"/>
    <w:rsid w:val="004C3903"/>
    <w:rsid w:val="004C6C79"/>
    <w:rsid w:val="004D012B"/>
    <w:rsid w:val="004D072A"/>
    <w:rsid w:val="004D1283"/>
    <w:rsid w:val="004D18E3"/>
    <w:rsid w:val="004D34C6"/>
    <w:rsid w:val="004D3963"/>
    <w:rsid w:val="004D4B99"/>
    <w:rsid w:val="004D55A4"/>
    <w:rsid w:val="004D72F0"/>
    <w:rsid w:val="004D744A"/>
    <w:rsid w:val="004F23AA"/>
    <w:rsid w:val="004F2B6F"/>
    <w:rsid w:val="004F3F0A"/>
    <w:rsid w:val="004F76A7"/>
    <w:rsid w:val="004F7F0E"/>
    <w:rsid w:val="00502A17"/>
    <w:rsid w:val="00510081"/>
    <w:rsid w:val="005163FE"/>
    <w:rsid w:val="00517C97"/>
    <w:rsid w:val="0052254E"/>
    <w:rsid w:val="00522748"/>
    <w:rsid w:val="0052655F"/>
    <w:rsid w:val="005274ED"/>
    <w:rsid w:val="005309D9"/>
    <w:rsid w:val="005310FA"/>
    <w:rsid w:val="005334F1"/>
    <w:rsid w:val="005412A6"/>
    <w:rsid w:val="00545E09"/>
    <w:rsid w:val="0054652E"/>
    <w:rsid w:val="00551839"/>
    <w:rsid w:val="0055476E"/>
    <w:rsid w:val="00560F6D"/>
    <w:rsid w:val="00566811"/>
    <w:rsid w:val="005727EE"/>
    <w:rsid w:val="00572AB0"/>
    <w:rsid w:val="005735AE"/>
    <w:rsid w:val="0057625B"/>
    <w:rsid w:val="00581839"/>
    <w:rsid w:val="00582E45"/>
    <w:rsid w:val="00593ABC"/>
    <w:rsid w:val="005978ED"/>
    <w:rsid w:val="005A251A"/>
    <w:rsid w:val="005A2651"/>
    <w:rsid w:val="005A272E"/>
    <w:rsid w:val="005A335B"/>
    <w:rsid w:val="005A3C23"/>
    <w:rsid w:val="005A6E2C"/>
    <w:rsid w:val="005B0DD5"/>
    <w:rsid w:val="005B4D0D"/>
    <w:rsid w:val="005B5545"/>
    <w:rsid w:val="005C1D22"/>
    <w:rsid w:val="005C2002"/>
    <w:rsid w:val="005C349B"/>
    <w:rsid w:val="005D1466"/>
    <w:rsid w:val="005D1C84"/>
    <w:rsid w:val="005D260F"/>
    <w:rsid w:val="005D2F5D"/>
    <w:rsid w:val="005D6D8F"/>
    <w:rsid w:val="005E10B1"/>
    <w:rsid w:val="005E6F96"/>
    <w:rsid w:val="005F04D9"/>
    <w:rsid w:val="005F0ABA"/>
    <w:rsid w:val="005F0AFD"/>
    <w:rsid w:val="005F12FD"/>
    <w:rsid w:val="005F2828"/>
    <w:rsid w:val="005F4808"/>
    <w:rsid w:val="005F54B3"/>
    <w:rsid w:val="005F59BB"/>
    <w:rsid w:val="005F6521"/>
    <w:rsid w:val="005F6BBC"/>
    <w:rsid w:val="005F7BF4"/>
    <w:rsid w:val="006103F0"/>
    <w:rsid w:val="00611FDF"/>
    <w:rsid w:val="00617B7D"/>
    <w:rsid w:val="00621D64"/>
    <w:rsid w:val="00621FF9"/>
    <w:rsid w:val="006266CE"/>
    <w:rsid w:val="00626EC6"/>
    <w:rsid w:val="0063322E"/>
    <w:rsid w:val="0063493B"/>
    <w:rsid w:val="0064782C"/>
    <w:rsid w:val="006530FB"/>
    <w:rsid w:val="00654EF5"/>
    <w:rsid w:val="00655196"/>
    <w:rsid w:val="00656F23"/>
    <w:rsid w:val="00657EEB"/>
    <w:rsid w:val="00661E1D"/>
    <w:rsid w:val="006660B0"/>
    <w:rsid w:val="006666D2"/>
    <w:rsid w:val="00666DF8"/>
    <w:rsid w:val="006721B6"/>
    <w:rsid w:val="0067258A"/>
    <w:rsid w:val="00680866"/>
    <w:rsid w:val="00680FA6"/>
    <w:rsid w:val="00681854"/>
    <w:rsid w:val="00683484"/>
    <w:rsid w:val="006861B0"/>
    <w:rsid w:val="00694D46"/>
    <w:rsid w:val="00697410"/>
    <w:rsid w:val="006A2DE8"/>
    <w:rsid w:val="006A5B5F"/>
    <w:rsid w:val="006A7E1E"/>
    <w:rsid w:val="006A7E6B"/>
    <w:rsid w:val="006B0F86"/>
    <w:rsid w:val="006B1443"/>
    <w:rsid w:val="006B33B2"/>
    <w:rsid w:val="006B38EF"/>
    <w:rsid w:val="006B3E89"/>
    <w:rsid w:val="006D0676"/>
    <w:rsid w:val="006D134B"/>
    <w:rsid w:val="006D3480"/>
    <w:rsid w:val="006D4F4D"/>
    <w:rsid w:val="006D71B9"/>
    <w:rsid w:val="006E023E"/>
    <w:rsid w:val="006E2A6E"/>
    <w:rsid w:val="006E3E57"/>
    <w:rsid w:val="006E60B6"/>
    <w:rsid w:val="006E65B5"/>
    <w:rsid w:val="006F3753"/>
    <w:rsid w:val="006F51F7"/>
    <w:rsid w:val="0070001D"/>
    <w:rsid w:val="007021C8"/>
    <w:rsid w:val="00703E70"/>
    <w:rsid w:val="00706AF7"/>
    <w:rsid w:val="00707EFA"/>
    <w:rsid w:val="00711E95"/>
    <w:rsid w:val="00715E99"/>
    <w:rsid w:val="007175E4"/>
    <w:rsid w:val="00720520"/>
    <w:rsid w:val="00721DA9"/>
    <w:rsid w:val="00730F7B"/>
    <w:rsid w:val="00732F47"/>
    <w:rsid w:val="0074069C"/>
    <w:rsid w:val="00740CBB"/>
    <w:rsid w:val="00741B3E"/>
    <w:rsid w:val="00741ED3"/>
    <w:rsid w:val="00743A76"/>
    <w:rsid w:val="00754103"/>
    <w:rsid w:val="00756B56"/>
    <w:rsid w:val="007667E7"/>
    <w:rsid w:val="00766C07"/>
    <w:rsid w:val="007749D2"/>
    <w:rsid w:val="00774E68"/>
    <w:rsid w:val="00775C20"/>
    <w:rsid w:val="00775F44"/>
    <w:rsid w:val="007779F9"/>
    <w:rsid w:val="00780D03"/>
    <w:rsid w:val="0078105E"/>
    <w:rsid w:val="007835B3"/>
    <w:rsid w:val="00786777"/>
    <w:rsid w:val="00786D6D"/>
    <w:rsid w:val="00794F69"/>
    <w:rsid w:val="00797086"/>
    <w:rsid w:val="007A1296"/>
    <w:rsid w:val="007A68A1"/>
    <w:rsid w:val="007A6E7B"/>
    <w:rsid w:val="007B04E7"/>
    <w:rsid w:val="007B0F21"/>
    <w:rsid w:val="007B4A88"/>
    <w:rsid w:val="007C027B"/>
    <w:rsid w:val="007C3DBF"/>
    <w:rsid w:val="007D07E2"/>
    <w:rsid w:val="007D315F"/>
    <w:rsid w:val="007D3B21"/>
    <w:rsid w:val="007D4B75"/>
    <w:rsid w:val="007D5371"/>
    <w:rsid w:val="007D642A"/>
    <w:rsid w:val="007E147F"/>
    <w:rsid w:val="007E44EC"/>
    <w:rsid w:val="007E548E"/>
    <w:rsid w:val="007E5928"/>
    <w:rsid w:val="007F0E5F"/>
    <w:rsid w:val="007F2038"/>
    <w:rsid w:val="007F27B4"/>
    <w:rsid w:val="007F4C26"/>
    <w:rsid w:val="00800A2E"/>
    <w:rsid w:val="00801AF9"/>
    <w:rsid w:val="0080587B"/>
    <w:rsid w:val="00806F80"/>
    <w:rsid w:val="00807030"/>
    <w:rsid w:val="008079AF"/>
    <w:rsid w:val="008139C8"/>
    <w:rsid w:val="00813C1B"/>
    <w:rsid w:val="00820F51"/>
    <w:rsid w:val="00821814"/>
    <w:rsid w:val="0082226B"/>
    <w:rsid w:val="008265B2"/>
    <w:rsid w:val="008312B5"/>
    <w:rsid w:val="00837C7F"/>
    <w:rsid w:val="00842DE2"/>
    <w:rsid w:val="00845BEA"/>
    <w:rsid w:val="0084628A"/>
    <w:rsid w:val="00851A0E"/>
    <w:rsid w:val="00852A6F"/>
    <w:rsid w:val="00855FC8"/>
    <w:rsid w:val="008570FF"/>
    <w:rsid w:val="008605B2"/>
    <w:rsid w:val="0086178D"/>
    <w:rsid w:val="008644F9"/>
    <w:rsid w:val="0086552F"/>
    <w:rsid w:val="00865D10"/>
    <w:rsid w:val="00865D1A"/>
    <w:rsid w:val="00866B7B"/>
    <w:rsid w:val="008760F1"/>
    <w:rsid w:val="00876534"/>
    <w:rsid w:val="00880852"/>
    <w:rsid w:val="008817E0"/>
    <w:rsid w:val="00881B7A"/>
    <w:rsid w:val="0088586C"/>
    <w:rsid w:val="00892D32"/>
    <w:rsid w:val="00896B3E"/>
    <w:rsid w:val="008976CB"/>
    <w:rsid w:val="008A047E"/>
    <w:rsid w:val="008A2D34"/>
    <w:rsid w:val="008B3651"/>
    <w:rsid w:val="008B44C1"/>
    <w:rsid w:val="008B660D"/>
    <w:rsid w:val="008C23BA"/>
    <w:rsid w:val="008C6E6C"/>
    <w:rsid w:val="008C6EC8"/>
    <w:rsid w:val="008C6F86"/>
    <w:rsid w:val="008D0778"/>
    <w:rsid w:val="008D0AE1"/>
    <w:rsid w:val="008D3A20"/>
    <w:rsid w:val="008D6648"/>
    <w:rsid w:val="008E0548"/>
    <w:rsid w:val="008E0A84"/>
    <w:rsid w:val="008E205C"/>
    <w:rsid w:val="008E7DF2"/>
    <w:rsid w:val="008F146E"/>
    <w:rsid w:val="008F6774"/>
    <w:rsid w:val="008F6E24"/>
    <w:rsid w:val="0090135C"/>
    <w:rsid w:val="00901621"/>
    <w:rsid w:val="009036CF"/>
    <w:rsid w:val="00903ACE"/>
    <w:rsid w:val="00904831"/>
    <w:rsid w:val="009061D6"/>
    <w:rsid w:val="00910233"/>
    <w:rsid w:val="00910BA6"/>
    <w:rsid w:val="00911E8D"/>
    <w:rsid w:val="0091297F"/>
    <w:rsid w:val="00913F87"/>
    <w:rsid w:val="00915974"/>
    <w:rsid w:val="009175B7"/>
    <w:rsid w:val="00922C23"/>
    <w:rsid w:val="009238CD"/>
    <w:rsid w:val="00923E46"/>
    <w:rsid w:val="00936FDD"/>
    <w:rsid w:val="0094279F"/>
    <w:rsid w:val="00942B78"/>
    <w:rsid w:val="009430C4"/>
    <w:rsid w:val="00952C01"/>
    <w:rsid w:val="00954B2E"/>
    <w:rsid w:val="00955BC6"/>
    <w:rsid w:val="009573DA"/>
    <w:rsid w:val="00963224"/>
    <w:rsid w:val="00963B92"/>
    <w:rsid w:val="00964E0F"/>
    <w:rsid w:val="00975AFB"/>
    <w:rsid w:val="00975EBA"/>
    <w:rsid w:val="00981CC0"/>
    <w:rsid w:val="0098428E"/>
    <w:rsid w:val="0098676F"/>
    <w:rsid w:val="00992563"/>
    <w:rsid w:val="00994D31"/>
    <w:rsid w:val="00997ED2"/>
    <w:rsid w:val="009A50F2"/>
    <w:rsid w:val="009A6968"/>
    <w:rsid w:val="009B0165"/>
    <w:rsid w:val="009B10D7"/>
    <w:rsid w:val="009B360A"/>
    <w:rsid w:val="009B4E15"/>
    <w:rsid w:val="009B6506"/>
    <w:rsid w:val="009C299C"/>
    <w:rsid w:val="009C3990"/>
    <w:rsid w:val="009C447A"/>
    <w:rsid w:val="009C690B"/>
    <w:rsid w:val="009C7A05"/>
    <w:rsid w:val="009E0230"/>
    <w:rsid w:val="009E2741"/>
    <w:rsid w:val="009F0226"/>
    <w:rsid w:val="009F093E"/>
    <w:rsid w:val="009F0EA4"/>
    <w:rsid w:val="009F20FB"/>
    <w:rsid w:val="009F2F4D"/>
    <w:rsid w:val="009F305B"/>
    <w:rsid w:val="00A006CB"/>
    <w:rsid w:val="00A0235B"/>
    <w:rsid w:val="00A038A1"/>
    <w:rsid w:val="00A05ECF"/>
    <w:rsid w:val="00A12B83"/>
    <w:rsid w:val="00A2051A"/>
    <w:rsid w:val="00A2157E"/>
    <w:rsid w:val="00A21F0F"/>
    <w:rsid w:val="00A23BFF"/>
    <w:rsid w:val="00A23FFF"/>
    <w:rsid w:val="00A311AA"/>
    <w:rsid w:val="00A32BD2"/>
    <w:rsid w:val="00A36C51"/>
    <w:rsid w:val="00A42684"/>
    <w:rsid w:val="00A426C6"/>
    <w:rsid w:val="00A43562"/>
    <w:rsid w:val="00A43A34"/>
    <w:rsid w:val="00A43B32"/>
    <w:rsid w:val="00A443FC"/>
    <w:rsid w:val="00A45FA9"/>
    <w:rsid w:val="00A46D74"/>
    <w:rsid w:val="00A517E6"/>
    <w:rsid w:val="00A534DA"/>
    <w:rsid w:val="00A53776"/>
    <w:rsid w:val="00A53CB3"/>
    <w:rsid w:val="00A573AC"/>
    <w:rsid w:val="00A607F7"/>
    <w:rsid w:val="00A622E5"/>
    <w:rsid w:val="00A6286A"/>
    <w:rsid w:val="00A633C3"/>
    <w:rsid w:val="00A6512F"/>
    <w:rsid w:val="00A71CBA"/>
    <w:rsid w:val="00A76E59"/>
    <w:rsid w:val="00A82A04"/>
    <w:rsid w:val="00A8462C"/>
    <w:rsid w:val="00A86DFC"/>
    <w:rsid w:val="00A91366"/>
    <w:rsid w:val="00A9159B"/>
    <w:rsid w:val="00A95063"/>
    <w:rsid w:val="00A954B9"/>
    <w:rsid w:val="00A9783F"/>
    <w:rsid w:val="00AA010F"/>
    <w:rsid w:val="00AB1ECE"/>
    <w:rsid w:val="00AB24D3"/>
    <w:rsid w:val="00AC36FF"/>
    <w:rsid w:val="00AC5143"/>
    <w:rsid w:val="00AC67CB"/>
    <w:rsid w:val="00AD03CA"/>
    <w:rsid w:val="00AD1A89"/>
    <w:rsid w:val="00AD202A"/>
    <w:rsid w:val="00AD2FA3"/>
    <w:rsid w:val="00AD4ECD"/>
    <w:rsid w:val="00AE22D5"/>
    <w:rsid w:val="00AE3939"/>
    <w:rsid w:val="00AE4BEC"/>
    <w:rsid w:val="00AE52CA"/>
    <w:rsid w:val="00AE5B99"/>
    <w:rsid w:val="00AE5D48"/>
    <w:rsid w:val="00AF05D3"/>
    <w:rsid w:val="00AF678D"/>
    <w:rsid w:val="00B020CB"/>
    <w:rsid w:val="00B027DB"/>
    <w:rsid w:val="00B042BD"/>
    <w:rsid w:val="00B04815"/>
    <w:rsid w:val="00B0747F"/>
    <w:rsid w:val="00B17379"/>
    <w:rsid w:val="00B201F1"/>
    <w:rsid w:val="00B21ED7"/>
    <w:rsid w:val="00B247B5"/>
    <w:rsid w:val="00B31B0D"/>
    <w:rsid w:val="00B354BF"/>
    <w:rsid w:val="00B403A9"/>
    <w:rsid w:val="00B40E9C"/>
    <w:rsid w:val="00B42ECB"/>
    <w:rsid w:val="00B45030"/>
    <w:rsid w:val="00B45D49"/>
    <w:rsid w:val="00B47208"/>
    <w:rsid w:val="00B51380"/>
    <w:rsid w:val="00B5150C"/>
    <w:rsid w:val="00B5414B"/>
    <w:rsid w:val="00B54483"/>
    <w:rsid w:val="00B55EE1"/>
    <w:rsid w:val="00B576DF"/>
    <w:rsid w:val="00B60C93"/>
    <w:rsid w:val="00B64B00"/>
    <w:rsid w:val="00B65AE7"/>
    <w:rsid w:val="00B65D6E"/>
    <w:rsid w:val="00B70F1E"/>
    <w:rsid w:val="00B71AE8"/>
    <w:rsid w:val="00B74BC9"/>
    <w:rsid w:val="00B758AF"/>
    <w:rsid w:val="00B75945"/>
    <w:rsid w:val="00B75D39"/>
    <w:rsid w:val="00B87D3C"/>
    <w:rsid w:val="00B91B60"/>
    <w:rsid w:val="00B92BD0"/>
    <w:rsid w:val="00B9512E"/>
    <w:rsid w:val="00B95E73"/>
    <w:rsid w:val="00B9732F"/>
    <w:rsid w:val="00BA2D05"/>
    <w:rsid w:val="00BA4572"/>
    <w:rsid w:val="00BA6BF3"/>
    <w:rsid w:val="00BB10CF"/>
    <w:rsid w:val="00BB1EEE"/>
    <w:rsid w:val="00BB5C0A"/>
    <w:rsid w:val="00BB6481"/>
    <w:rsid w:val="00BB75D9"/>
    <w:rsid w:val="00BB7CA1"/>
    <w:rsid w:val="00BC1111"/>
    <w:rsid w:val="00BC11DB"/>
    <w:rsid w:val="00BC2BA3"/>
    <w:rsid w:val="00BC5D0F"/>
    <w:rsid w:val="00BD1866"/>
    <w:rsid w:val="00BD18CD"/>
    <w:rsid w:val="00BD1E95"/>
    <w:rsid w:val="00BD447D"/>
    <w:rsid w:val="00BD4519"/>
    <w:rsid w:val="00BD4B82"/>
    <w:rsid w:val="00BD5124"/>
    <w:rsid w:val="00BD7E5E"/>
    <w:rsid w:val="00BE2223"/>
    <w:rsid w:val="00BE5153"/>
    <w:rsid w:val="00BE7D1E"/>
    <w:rsid w:val="00BF0800"/>
    <w:rsid w:val="00BF2B53"/>
    <w:rsid w:val="00BF3C51"/>
    <w:rsid w:val="00BF412C"/>
    <w:rsid w:val="00C03635"/>
    <w:rsid w:val="00C0499C"/>
    <w:rsid w:val="00C060D2"/>
    <w:rsid w:val="00C06889"/>
    <w:rsid w:val="00C06B7D"/>
    <w:rsid w:val="00C06E2C"/>
    <w:rsid w:val="00C100CE"/>
    <w:rsid w:val="00C11F5C"/>
    <w:rsid w:val="00C15B2D"/>
    <w:rsid w:val="00C15F82"/>
    <w:rsid w:val="00C222A2"/>
    <w:rsid w:val="00C227CB"/>
    <w:rsid w:val="00C230C0"/>
    <w:rsid w:val="00C3737D"/>
    <w:rsid w:val="00C37C86"/>
    <w:rsid w:val="00C42EAF"/>
    <w:rsid w:val="00C42ED3"/>
    <w:rsid w:val="00C50CF1"/>
    <w:rsid w:val="00C522B9"/>
    <w:rsid w:val="00C52F63"/>
    <w:rsid w:val="00C54EAE"/>
    <w:rsid w:val="00C565C5"/>
    <w:rsid w:val="00C56FB4"/>
    <w:rsid w:val="00C57EE1"/>
    <w:rsid w:val="00C613A3"/>
    <w:rsid w:val="00C628A4"/>
    <w:rsid w:val="00C6486E"/>
    <w:rsid w:val="00C64E23"/>
    <w:rsid w:val="00C67F69"/>
    <w:rsid w:val="00C704AB"/>
    <w:rsid w:val="00C734C1"/>
    <w:rsid w:val="00C76F0B"/>
    <w:rsid w:val="00C77E1B"/>
    <w:rsid w:val="00C77FC7"/>
    <w:rsid w:val="00C802CF"/>
    <w:rsid w:val="00C803BE"/>
    <w:rsid w:val="00C80DCB"/>
    <w:rsid w:val="00C82709"/>
    <w:rsid w:val="00C827B0"/>
    <w:rsid w:val="00C84E34"/>
    <w:rsid w:val="00C873CF"/>
    <w:rsid w:val="00C92684"/>
    <w:rsid w:val="00C94498"/>
    <w:rsid w:val="00C96A8E"/>
    <w:rsid w:val="00C97191"/>
    <w:rsid w:val="00CA0516"/>
    <w:rsid w:val="00CA347B"/>
    <w:rsid w:val="00CA6D6E"/>
    <w:rsid w:val="00CA7AC7"/>
    <w:rsid w:val="00CB25AF"/>
    <w:rsid w:val="00CB3072"/>
    <w:rsid w:val="00CB4534"/>
    <w:rsid w:val="00CC673D"/>
    <w:rsid w:val="00CC69D0"/>
    <w:rsid w:val="00CC6AE5"/>
    <w:rsid w:val="00CC6D0D"/>
    <w:rsid w:val="00CC7514"/>
    <w:rsid w:val="00CD2B03"/>
    <w:rsid w:val="00CD485D"/>
    <w:rsid w:val="00CD7D9B"/>
    <w:rsid w:val="00CE042C"/>
    <w:rsid w:val="00CE2844"/>
    <w:rsid w:val="00CE2A3B"/>
    <w:rsid w:val="00CE3A3A"/>
    <w:rsid w:val="00CE4EBA"/>
    <w:rsid w:val="00CE70C6"/>
    <w:rsid w:val="00CE7E38"/>
    <w:rsid w:val="00CF001E"/>
    <w:rsid w:val="00CF6F01"/>
    <w:rsid w:val="00CF77BD"/>
    <w:rsid w:val="00D02A0E"/>
    <w:rsid w:val="00D02FD9"/>
    <w:rsid w:val="00D03D8D"/>
    <w:rsid w:val="00D0698C"/>
    <w:rsid w:val="00D15F06"/>
    <w:rsid w:val="00D20196"/>
    <w:rsid w:val="00D24043"/>
    <w:rsid w:val="00D248AF"/>
    <w:rsid w:val="00D25DA6"/>
    <w:rsid w:val="00D319BB"/>
    <w:rsid w:val="00D36FDD"/>
    <w:rsid w:val="00D42AD3"/>
    <w:rsid w:val="00D561FB"/>
    <w:rsid w:val="00D564C5"/>
    <w:rsid w:val="00D62211"/>
    <w:rsid w:val="00D6246B"/>
    <w:rsid w:val="00D64DC2"/>
    <w:rsid w:val="00D67BC3"/>
    <w:rsid w:val="00D73B5D"/>
    <w:rsid w:val="00D9603C"/>
    <w:rsid w:val="00D9753C"/>
    <w:rsid w:val="00DA2448"/>
    <w:rsid w:val="00DA28F5"/>
    <w:rsid w:val="00DA66C5"/>
    <w:rsid w:val="00DB1A9D"/>
    <w:rsid w:val="00DB1ED7"/>
    <w:rsid w:val="00DB51FF"/>
    <w:rsid w:val="00DB5332"/>
    <w:rsid w:val="00DC0277"/>
    <w:rsid w:val="00DC65C5"/>
    <w:rsid w:val="00DC7669"/>
    <w:rsid w:val="00DD192B"/>
    <w:rsid w:val="00DD3AFC"/>
    <w:rsid w:val="00DE4F6D"/>
    <w:rsid w:val="00DE504D"/>
    <w:rsid w:val="00DF0A9A"/>
    <w:rsid w:val="00DF0D93"/>
    <w:rsid w:val="00DF1336"/>
    <w:rsid w:val="00DF2ADC"/>
    <w:rsid w:val="00DF4D04"/>
    <w:rsid w:val="00DF688A"/>
    <w:rsid w:val="00E00B0B"/>
    <w:rsid w:val="00E0196B"/>
    <w:rsid w:val="00E0220D"/>
    <w:rsid w:val="00E05465"/>
    <w:rsid w:val="00E13C8E"/>
    <w:rsid w:val="00E20F49"/>
    <w:rsid w:val="00E21011"/>
    <w:rsid w:val="00E24678"/>
    <w:rsid w:val="00E30911"/>
    <w:rsid w:val="00E30FA1"/>
    <w:rsid w:val="00E31903"/>
    <w:rsid w:val="00E42221"/>
    <w:rsid w:val="00E42493"/>
    <w:rsid w:val="00E42CCF"/>
    <w:rsid w:val="00E44139"/>
    <w:rsid w:val="00E443AE"/>
    <w:rsid w:val="00E45573"/>
    <w:rsid w:val="00E45F93"/>
    <w:rsid w:val="00E46562"/>
    <w:rsid w:val="00E5086E"/>
    <w:rsid w:val="00E51AB2"/>
    <w:rsid w:val="00E60A20"/>
    <w:rsid w:val="00E60D7D"/>
    <w:rsid w:val="00E745C7"/>
    <w:rsid w:val="00E80561"/>
    <w:rsid w:val="00E85366"/>
    <w:rsid w:val="00E8741F"/>
    <w:rsid w:val="00E87C53"/>
    <w:rsid w:val="00E90755"/>
    <w:rsid w:val="00E94DD6"/>
    <w:rsid w:val="00EA3FB9"/>
    <w:rsid w:val="00EA4A0D"/>
    <w:rsid w:val="00EA557E"/>
    <w:rsid w:val="00EA7DDB"/>
    <w:rsid w:val="00EB0A6A"/>
    <w:rsid w:val="00EB0C02"/>
    <w:rsid w:val="00EB2317"/>
    <w:rsid w:val="00EB59E6"/>
    <w:rsid w:val="00EB7B53"/>
    <w:rsid w:val="00EC21E5"/>
    <w:rsid w:val="00EC4218"/>
    <w:rsid w:val="00EC4FD3"/>
    <w:rsid w:val="00EC5159"/>
    <w:rsid w:val="00EC5498"/>
    <w:rsid w:val="00EC6064"/>
    <w:rsid w:val="00EC72EF"/>
    <w:rsid w:val="00ED1915"/>
    <w:rsid w:val="00ED3742"/>
    <w:rsid w:val="00ED68E2"/>
    <w:rsid w:val="00EE1B07"/>
    <w:rsid w:val="00EE55A7"/>
    <w:rsid w:val="00EE6627"/>
    <w:rsid w:val="00EE6B42"/>
    <w:rsid w:val="00EE6E52"/>
    <w:rsid w:val="00EF1A80"/>
    <w:rsid w:val="00EF3CCB"/>
    <w:rsid w:val="00EF5199"/>
    <w:rsid w:val="00EF6F22"/>
    <w:rsid w:val="00EF7D4C"/>
    <w:rsid w:val="00F01719"/>
    <w:rsid w:val="00F032B0"/>
    <w:rsid w:val="00F04289"/>
    <w:rsid w:val="00F14C2A"/>
    <w:rsid w:val="00F14D57"/>
    <w:rsid w:val="00F15E82"/>
    <w:rsid w:val="00F2009A"/>
    <w:rsid w:val="00F243DF"/>
    <w:rsid w:val="00F263CD"/>
    <w:rsid w:val="00F3230F"/>
    <w:rsid w:val="00F32B4D"/>
    <w:rsid w:val="00F33A03"/>
    <w:rsid w:val="00F33A49"/>
    <w:rsid w:val="00F33BDC"/>
    <w:rsid w:val="00F379EB"/>
    <w:rsid w:val="00F402E3"/>
    <w:rsid w:val="00F42833"/>
    <w:rsid w:val="00F432C6"/>
    <w:rsid w:val="00F466E6"/>
    <w:rsid w:val="00F50DF6"/>
    <w:rsid w:val="00F5308B"/>
    <w:rsid w:val="00F543E4"/>
    <w:rsid w:val="00F72D1F"/>
    <w:rsid w:val="00F73BA2"/>
    <w:rsid w:val="00F749F1"/>
    <w:rsid w:val="00F82FE8"/>
    <w:rsid w:val="00F8444C"/>
    <w:rsid w:val="00F931C1"/>
    <w:rsid w:val="00F934FE"/>
    <w:rsid w:val="00F94DA5"/>
    <w:rsid w:val="00FA368E"/>
    <w:rsid w:val="00FA4C58"/>
    <w:rsid w:val="00FA5206"/>
    <w:rsid w:val="00FA7C75"/>
    <w:rsid w:val="00FB508F"/>
    <w:rsid w:val="00FB5CCC"/>
    <w:rsid w:val="00FB79BF"/>
    <w:rsid w:val="00FB7E5E"/>
    <w:rsid w:val="00FC2648"/>
    <w:rsid w:val="00FC4CF0"/>
    <w:rsid w:val="00FC65C1"/>
    <w:rsid w:val="00FC7146"/>
    <w:rsid w:val="00FD4B3A"/>
    <w:rsid w:val="00FD7C02"/>
    <w:rsid w:val="00FE0F52"/>
    <w:rsid w:val="00FE4839"/>
    <w:rsid w:val="00FF3195"/>
    <w:rsid w:val="00FF381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7CDECE8"/>
  <w14:defaultImageDpi w14:val="300"/>
  <w15:docId w15:val="{E2CD5272-224C-7240-B6E0-BD0F1BFD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4720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47208"/>
    <w:rPr>
      <w:rFonts w:ascii="Lucida Grande" w:hAnsi="Lucida Grande" w:cs="Lucida Grande"/>
      <w:sz w:val="18"/>
      <w:szCs w:val="18"/>
      <w:lang w:eastAsia="de-DE"/>
    </w:rPr>
  </w:style>
  <w:style w:type="paragraph" w:styleId="Kopfzeile">
    <w:name w:val="header"/>
    <w:basedOn w:val="Standard"/>
    <w:link w:val="KopfzeileZchn"/>
    <w:uiPriority w:val="99"/>
    <w:unhideWhenUsed/>
    <w:rsid w:val="00B74BC9"/>
    <w:pPr>
      <w:tabs>
        <w:tab w:val="center" w:pos="4536"/>
        <w:tab w:val="right" w:pos="9072"/>
      </w:tabs>
    </w:pPr>
  </w:style>
  <w:style w:type="character" w:customStyle="1" w:styleId="KopfzeileZchn">
    <w:name w:val="Kopfzeile Zchn"/>
    <w:basedOn w:val="Absatz-Standardschriftart"/>
    <w:link w:val="Kopfzeile"/>
    <w:uiPriority w:val="99"/>
    <w:rsid w:val="00B74BC9"/>
    <w:rPr>
      <w:sz w:val="24"/>
      <w:szCs w:val="24"/>
      <w:lang w:eastAsia="de-DE"/>
    </w:rPr>
  </w:style>
  <w:style w:type="character" w:styleId="Seitenzahl">
    <w:name w:val="page number"/>
    <w:basedOn w:val="Absatz-Standardschriftart"/>
    <w:uiPriority w:val="99"/>
    <w:semiHidden/>
    <w:unhideWhenUsed/>
    <w:rsid w:val="00B74BC9"/>
  </w:style>
  <w:style w:type="paragraph" w:styleId="Listenabsatz">
    <w:name w:val="List Paragraph"/>
    <w:basedOn w:val="Standard"/>
    <w:uiPriority w:val="34"/>
    <w:qFormat/>
    <w:rsid w:val="00BD4519"/>
    <w:pPr>
      <w:ind w:left="720"/>
      <w:contextualSpacing/>
    </w:pPr>
  </w:style>
  <w:style w:type="paragraph" w:styleId="KeinLeerraum">
    <w:name w:val="No Spacing"/>
    <w:uiPriority w:val="1"/>
    <w:qFormat/>
    <w:rsid w:val="00387254"/>
    <w:rPr>
      <w:sz w:val="24"/>
      <w:szCs w:val="24"/>
      <w:lang w:eastAsia="de-DE"/>
    </w:rPr>
  </w:style>
  <w:style w:type="character" w:styleId="Hyperlink">
    <w:name w:val="Hyperlink"/>
    <w:basedOn w:val="Absatz-Standardschriftart"/>
    <w:uiPriority w:val="99"/>
    <w:unhideWhenUsed/>
    <w:rsid w:val="007D5371"/>
    <w:rPr>
      <w:color w:val="0000FF" w:themeColor="hyperlink"/>
      <w:u w:val="single"/>
    </w:rPr>
  </w:style>
  <w:style w:type="character" w:styleId="NichtaufgelsteErwhnung">
    <w:name w:val="Unresolved Mention"/>
    <w:basedOn w:val="Absatz-Standardschriftart"/>
    <w:uiPriority w:val="99"/>
    <w:semiHidden/>
    <w:unhideWhenUsed/>
    <w:rsid w:val="007D5371"/>
    <w:rPr>
      <w:color w:val="605E5C"/>
      <w:shd w:val="clear" w:color="auto" w:fill="E1DFDD"/>
    </w:rPr>
  </w:style>
  <w:style w:type="character" w:styleId="BesuchterLink">
    <w:name w:val="FollowedHyperlink"/>
    <w:basedOn w:val="Absatz-Standardschriftart"/>
    <w:uiPriority w:val="99"/>
    <w:semiHidden/>
    <w:unhideWhenUsed/>
    <w:rsid w:val="007D53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erres.gesellschaft.de/" TargetMode="External"/><Relationship Id="rId13" Type="http://schemas.openxmlformats.org/officeDocument/2006/relationships/hyperlink" Target="http://www.rheinische-geschichte.lvr.de/persoenlichkeiten/S/Seiten/RichardThoma.aspx"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igration.boell.de/web/integration/47%202711.asp" TargetMode="External"/><Relationship Id="rId12" Type="http://schemas.openxmlformats.org/officeDocument/2006/relationships/hyperlink" Target="http://www.rheinische-geschichte.lvr.de/persoenlichkeiten/S/Seiten/UlrichStutz.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kas.de/wf/de/33.334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heinische-geschichte.lvr.de/persoenlichkeiten/S/Seiten/UlrichScheuner.aspx" TargetMode="External"/><Relationship Id="rId5" Type="http://schemas.openxmlformats.org/officeDocument/2006/relationships/footnotes" Target="footnotes.xml"/><Relationship Id="rId15" Type="http://schemas.openxmlformats.org/officeDocument/2006/relationships/hyperlink" Target="http://www.cfvw.org/" TargetMode="External"/><Relationship Id="rId10" Type="http://schemas.openxmlformats.org/officeDocument/2006/relationships/hyperlink" Target="http://www.rheinische-geschichte.lvr.de/persoenlichkeiten/S/Seiten/ErnstFriesenhahn.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7/S157401962000221" TargetMode="External"/><Relationship Id="rId14" Type="http://schemas.openxmlformats.org/officeDocument/2006/relationships/hyperlink" Target="http://www.zukunftderarbeit.eu/"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15202</Words>
  <Characters>102614</Characters>
  <Application>Microsoft Office Word</Application>
  <DocSecurity>0</DocSecurity>
  <Lines>1628</Lines>
  <Paragraphs>439</Paragraphs>
  <ScaleCrop>false</ScaleCrop>
  <HeadingPairs>
    <vt:vector size="2" baseType="variant">
      <vt:variant>
        <vt:lpstr>Titel</vt:lpstr>
      </vt:variant>
      <vt:variant>
        <vt:i4>1</vt:i4>
      </vt:variant>
    </vt:vector>
  </HeadingPairs>
  <TitlesOfParts>
    <vt:vector size="1" baseType="lpstr">
      <vt:lpstr/>
    </vt:vector>
  </TitlesOfParts>
  <Company>Humboldt-Universität zu Berlin</Company>
  <LinksUpToDate>false</LinksUpToDate>
  <CharactersWithSpaces>117377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Juristische Fakultät</dc:creator>
  <cp:keywords/>
  <dc:description/>
  <cp:lastModifiedBy>Microsoft Office User</cp:lastModifiedBy>
  <cp:revision>56</cp:revision>
  <cp:lastPrinted>2019-01-23T11:39:00Z</cp:lastPrinted>
  <dcterms:created xsi:type="dcterms:W3CDTF">2024-06-04T08:47:00Z</dcterms:created>
  <dcterms:modified xsi:type="dcterms:W3CDTF">2025-05-08T14:21:00Z</dcterms:modified>
</cp:coreProperties>
</file>